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8"/>
          <w:szCs w:val="18"/>
          <w:b w:val="1"/>
          <w:bCs w:val="1"/>
          <w:color w:val="auto"/>
        </w:rPr>
        <w:t>Registration No. 333-288565</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J.P. MORGAN REAL ESTATE INCOME TRUST,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NO. 1 DATED MAY 13, 2026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PROSPECTUS DATED APRIL 15, 2026</w:t>
      </w:r>
    </w:p>
    <w:p>
      <w:pPr>
        <w:spacing w:after="0" w:line="99" w:lineRule="exact"/>
        <w:rPr>
          <w:sz w:val="24"/>
          <w:szCs w:val="24"/>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This prospectus supplement (this “Supplement”) is part of and should be read in conjunction with the prospectus of J.P. Morgan Real Estate Income Trust, Inc., dated April 15, 2026 (the “Prospectus”). Unless otherwise defined herein, capitalized terms used in this Supplement shall have the same meanings as in the Prospectus.</w:t>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purposes of this Supplement are as follows:</w:t>
      </w:r>
    </w:p>
    <w:p>
      <w:pPr>
        <w:spacing w:after="0" w:line="117" w:lineRule="exact"/>
        <w:rPr>
          <w:sz w:val="24"/>
          <w:szCs w:val="24"/>
          <w:color w:val="auto"/>
        </w:rPr>
      </w:pPr>
    </w:p>
    <w:p>
      <w:pPr>
        <w:ind w:left="1020" w:hanging="445"/>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disclose the transaction price for each class of our common stock as of June 1, 2026;</w:t>
      </w:r>
    </w:p>
    <w:p>
      <w:pPr>
        <w:spacing w:after="0" w:line="130"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disclose the calculation of our April 30, 2026 net asset value (“NAV”) per share for each class of our common stock;</w:t>
      </w:r>
    </w:p>
    <w:p>
      <w:pPr>
        <w:spacing w:after="0" w:line="130"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 update on the status of our public offering; and</w:t>
      </w:r>
    </w:p>
    <w:p>
      <w:pPr>
        <w:spacing w:after="0" w:line="130" w:lineRule="exact"/>
        <w:rPr>
          <w:rFonts w:ascii="Times New Roman" w:cs="Times New Roman" w:eastAsia="Times New Roman" w:hAnsi="Times New Roman"/>
          <w:sz w:val="18"/>
          <w:szCs w:val="18"/>
          <w:color w:val="auto"/>
        </w:rPr>
      </w:pPr>
    </w:p>
    <w:p>
      <w:pPr>
        <w:ind w:left="1020" w:hanging="445"/>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disclose certain updates to our Prospectus.</w:t>
      </w: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1, 2026 Transaction Price</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transaction price for each share class of our common stock sold in this offering for subscriptions accepted as of June 1, 2026 (and repurchases as of</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May 31, 2026) is as follows:</w:t>
      </w:r>
    </w:p>
    <w:p>
      <w:pPr>
        <w:spacing w:after="0" w:line="80" w:lineRule="exact"/>
        <w:rPr>
          <w:sz w:val="24"/>
          <w:szCs w:val="24"/>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90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Transaction Price</w:t>
            </w:r>
          </w:p>
        </w:tc>
      </w:tr>
      <w:tr>
        <w:trPr>
          <w:trHeight w:val="173"/>
        </w:trPr>
        <w:tc>
          <w:tcPr>
            <w:tcW w:w="35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jc w:val="right"/>
              <w:ind w:right="129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r>
      <w:tr>
        <w:trPr>
          <w:trHeight w:val="209"/>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D</w:t>
            </w:r>
          </w:p>
        </w:tc>
        <w:tc>
          <w:tcPr>
            <w:tcW w:w="364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10.57</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Class I</w:t>
            </w:r>
          </w:p>
        </w:tc>
        <w:tc>
          <w:tcPr>
            <w:tcW w:w="36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10.61</w:t>
            </w:r>
          </w:p>
        </w:tc>
      </w:tr>
      <w:tr>
        <w:trPr>
          <w:trHeight w:val="216"/>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S</w:t>
            </w:r>
          </w:p>
        </w:tc>
        <w:tc>
          <w:tcPr>
            <w:tcW w:w="364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Class T</w:t>
            </w:r>
          </w:p>
        </w:tc>
        <w:tc>
          <w:tcPr>
            <w:tcW w:w="36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r>
    </w:tbl>
    <w:p>
      <w:pPr>
        <w:spacing w:after="0" w:line="71"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April 30, 2026, we had no outstanding Class T shares or Class S shares. As a result, the transaction price for our Class T shares and Class S shares is equal to the NAV per share for our Class E shares as of April 30, 2026. Class E, Class X and Class Y shares are not sold as a part of this offering. The purchase price of our common stock for each share class equals the transaction price of such class, plus applicable upfront selling commissions and dealer manager fees. The repurchase price for each share class equals the transaction price of such class.</w:t>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April 30, 2026 NAV Per Share</w:t>
      </w:r>
    </w:p>
    <w:p>
      <w:pPr>
        <w:spacing w:after="0" w:line="121"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We calculate NAV per share in accordance with the valuation guidelines that have been approved by our board of directors. Our NAV per share, which is updated as of the last calendar day of each month, is posted on our website at </w:t>
      </w:r>
      <w:r>
        <w:rPr>
          <w:rFonts w:ascii="Times New Roman" w:cs="Times New Roman" w:eastAsia="Times New Roman" w:hAnsi="Times New Roman"/>
          <w:sz w:val="18"/>
          <w:szCs w:val="18"/>
          <w:i w:val="1"/>
          <w:iCs w:val="1"/>
          <w:color w:val="auto"/>
        </w:rPr>
        <w:t>www.jpmreit.com.</w:t>
      </w:r>
      <w:r>
        <w:rPr>
          <w:rFonts w:ascii="Times New Roman" w:cs="Times New Roman" w:eastAsia="Times New Roman" w:hAnsi="Times New Roman"/>
          <w:sz w:val="18"/>
          <w:szCs w:val="18"/>
          <w:color w:val="auto"/>
        </w:rPr>
        <w:t xml:space="preserve"> Please refer to “Net Asset Value Calculation and Valuation Guidelines” in the Prospectus for how our NAV is determined. The Adviser is ultimately responsible for determining our NAV.</w:t>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total NAV presented in the following tables includes the aggregate NAV of our common stock, as well as partnership interests of the Operating Partnership held by the Special Limited Partner. The following table provides a breakdown of the major components of our total NAV as of April 30, 2026 ($ and shares/units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Components of NAV</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20" w:type="dxa"/>
            <w:vAlign w:val="bottom"/>
          </w:tcPr>
          <w:p>
            <w:pPr>
              <w:spacing w:after="0"/>
              <w:rPr>
                <w:sz w:val="15"/>
                <w:szCs w:val="15"/>
                <w:color w:val="auto"/>
              </w:rPr>
            </w:pPr>
          </w:p>
        </w:tc>
      </w:tr>
      <w:tr>
        <w:trPr>
          <w:trHeight w:val="210"/>
        </w:trPr>
        <w:tc>
          <w:tcPr>
            <w:tcW w:w="8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in real estate</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1,369,706</w:t>
            </w:r>
          </w:p>
        </w:tc>
        <w:tc>
          <w:tcPr>
            <w:tcW w:w="120" w:type="dxa"/>
            <w:vAlign w:val="bottom"/>
            <w:shd w:val="clear" w:color="auto" w:fill="CFF0FC"/>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real estate debt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304,578</w:t>
            </w:r>
          </w:p>
        </w:tc>
        <w:tc>
          <w:tcPr>
            <w:tcW w:w="120" w:type="dxa"/>
            <w:vAlign w:val="bottom"/>
          </w:tcPr>
          <w:p>
            <w:pPr>
              <w:spacing w:after="0"/>
              <w:rPr>
                <w:sz w:val="18"/>
                <w:szCs w:val="18"/>
                <w:color w:val="auto"/>
              </w:rPr>
            </w:pPr>
          </w:p>
        </w:tc>
      </w:tr>
      <w:tr>
        <w:trPr>
          <w:trHeight w:val="216"/>
        </w:trPr>
        <w:tc>
          <w:tcPr>
            <w:tcW w:w="8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in real estate-related and other securities</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15,082</w:t>
            </w:r>
          </w:p>
        </w:tc>
        <w:tc>
          <w:tcPr>
            <w:tcW w:w="120" w:type="dxa"/>
            <w:vAlign w:val="bottom"/>
            <w:shd w:val="clear" w:color="auto" w:fill="CFF0FC"/>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41,568</w:t>
            </w:r>
          </w:p>
        </w:tc>
        <w:tc>
          <w:tcPr>
            <w:tcW w:w="120" w:type="dxa"/>
            <w:vAlign w:val="bottom"/>
          </w:tcPr>
          <w:p>
            <w:pPr>
              <w:spacing w:after="0"/>
              <w:rPr>
                <w:sz w:val="18"/>
                <w:szCs w:val="18"/>
                <w:color w:val="auto"/>
              </w:rPr>
            </w:pPr>
          </w:p>
        </w:tc>
      </w:tr>
      <w:tr>
        <w:trPr>
          <w:trHeight w:val="216"/>
        </w:trPr>
        <w:tc>
          <w:tcPr>
            <w:tcW w:w="8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120" w:type="dxa"/>
            <w:vAlign w:val="bottom"/>
            <w:shd w:val="clear" w:color="auto" w:fill="CFF0FC"/>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120" w:type="dxa"/>
            <w:vAlign w:val="bottom"/>
          </w:tcPr>
          <w:p>
            <w:pPr>
              <w:spacing w:after="0"/>
              <w:rPr>
                <w:sz w:val="18"/>
                <w:szCs w:val="18"/>
                <w:color w:val="auto"/>
              </w:rPr>
            </w:pPr>
          </w:p>
        </w:tc>
      </w:tr>
      <w:tr>
        <w:trPr>
          <w:trHeight w:val="216"/>
        </w:trPr>
        <w:tc>
          <w:tcPr>
            <w:tcW w:w="8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obligations</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(596,094)</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(38,374)</w:t>
            </w:r>
          </w:p>
        </w:tc>
      </w:tr>
      <w:tr>
        <w:trPr>
          <w:trHeight w:val="216"/>
        </w:trPr>
        <w:tc>
          <w:tcPr>
            <w:tcW w:w="8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performance participation allocation</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87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Stockholder servicing fees payable the following month</w:t>
            </w:r>
            <w:r>
              <w:rPr>
                <w:rFonts w:ascii="Times New Roman" w:cs="Times New Roman" w:eastAsia="Times New Roman" w:hAnsi="Times New Roman"/>
                <w:sz w:val="24"/>
                <w:szCs w:val="24"/>
                <w:color w:val="auto"/>
                <w:vertAlign w:val="superscript"/>
              </w:rPr>
              <w:t>(1)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8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 in joint ventures</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(17,264)</w:t>
            </w:r>
          </w:p>
        </w:tc>
      </w:tr>
      <w:tr>
        <w:trPr>
          <w:trHeight w:val="216"/>
        </w:trPr>
        <w:tc>
          <w:tcPr>
            <w:tcW w:w="87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Mandatorily redeemable instruments</w:t>
            </w:r>
            <w:r>
              <w:rPr>
                <w:rFonts w:ascii="Times New Roman" w:cs="Times New Roman" w:eastAsia="Times New Roman" w:hAnsi="Times New Roman"/>
                <w:sz w:val="24"/>
                <w:szCs w:val="24"/>
                <w:color w:val="auto"/>
                <w:vertAlign w:val="superscript"/>
              </w:rPr>
              <w:t>(2)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(8,036)</w:t>
            </w:r>
          </w:p>
        </w:tc>
      </w:tr>
      <w:tr>
        <w:trPr>
          <w:trHeight w:val="20"/>
        </w:trPr>
        <w:tc>
          <w:tcPr>
            <w:tcW w:w="8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8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 Value</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1,083,836</w:t>
            </w:r>
          </w:p>
        </w:tc>
        <w:tc>
          <w:tcPr>
            <w:tcW w:w="120" w:type="dxa"/>
            <w:vAlign w:val="bottom"/>
            <w:shd w:val="clear" w:color="auto" w:fill="CFF0FC"/>
          </w:tcPr>
          <w:p>
            <w:pPr>
              <w:spacing w:after="0"/>
              <w:rPr>
                <w:sz w:val="18"/>
                <w:szCs w:val="18"/>
                <w:color w:val="auto"/>
              </w:rPr>
            </w:pPr>
          </w:p>
        </w:tc>
      </w:tr>
      <w:tr>
        <w:trPr>
          <w:trHeight w:val="209"/>
        </w:trPr>
        <w:tc>
          <w:tcPr>
            <w:tcW w:w="8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Number of outstanding shares/units</w:t>
            </w: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96,244</w:t>
            </w:r>
          </w:p>
        </w:tc>
        <w:tc>
          <w:tcPr>
            <w:tcW w:w="120" w:type="dxa"/>
            <w:vAlign w:val="bottom"/>
            <w:tcBorders>
              <w:top w:val="single" w:sz="8" w:color="CFF0FC"/>
            </w:tcBorders>
          </w:tcPr>
          <w:p>
            <w:pPr>
              <w:spacing w:after="0"/>
              <w:rPr>
                <w:sz w:val="18"/>
                <w:szCs w:val="18"/>
                <w:color w:val="auto"/>
              </w:rPr>
            </w:pPr>
          </w:p>
        </w:tc>
      </w:tr>
      <w:tr>
        <w:trPr>
          <w:trHeight w:val="20"/>
        </w:trPr>
        <w:tc>
          <w:tcPr>
            <w:tcW w:w="8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1" w:lineRule="auto"/>
        <w:rPr>
          <w:sz w:val="20"/>
          <w:szCs w:val="20"/>
          <w:color w:val="auto"/>
        </w:rPr>
      </w:pPr>
      <w:r>
        <w:rPr>
          <w:rFonts w:ascii="Times New Roman" w:cs="Times New Roman" w:eastAsia="Times New Roman" w:hAnsi="Times New Roman"/>
          <w:sz w:val="9"/>
          <w:szCs w:val="9"/>
          <w:color w:val="auto"/>
        </w:rPr>
        <w:t>(1)</w:t>
      </w:r>
    </w:p>
    <w:p>
      <w:pPr>
        <w:ind w:left="460" w:right="40"/>
        <w:spacing w:after="0" w:line="234" w:lineRule="auto"/>
        <w:rPr>
          <w:sz w:val="20"/>
          <w:szCs w:val="20"/>
          <w:color w:val="auto"/>
        </w:rPr>
      </w:pPr>
      <w:r>
        <w:rPr>
          <w:rFonts w:ascii="Times New Roman" w:cs="Times New Roman" w:eastAsia="Times New Roman" w:hAnsi="Times New Roman"/>
          <w:sz w:val="18"/>
          <w:szCs w:val="18"/>
          <w:color w:val="auto"/>
        </w:rPr>
        <w:t>Stockholder servicing fees only apply to Class T, Class S, Class D and Class Y shares. For purposes of NAV, we recognize the stockholder servicing fee as a reduction of NAV on a monthly basis as such fee is paid. Under accounting principles generally accepted in the United States of America (“GAAP”), we accrue the lifetime cost of the stockholder servicing fee as an offering cost at the time we sell Class T, Class S, Class D and Class Y shares. The stockholder servicing fee on Class D shares was waived as of April 30, 2026, and the NAV attributable to current holders of Class D shares will not be included in the computation of stockholder servicing fees charged on Class D shares in perpetuity. As of April 30, 2026, we had accrued under GAAP stockholder servicing fees of $7.4 million.</w:t>
      </w:r>
    </w:p>
    <w:p>
      <w:pPr>
        <w:spacing w:after="0" w:line="197" w:lineRule="auto"/>
        <w:rPr>
          <w:sz w:val="20"/>
          <w:szCs w:val="20"/>
          <w:color w:val="auto"/>
        </w:rPr>
      </w:pPr>
      <w:r>
        <w:rPr>
          <w:rFonts w:ascii="Times New Roman" w:cs="Times New Roman" w:eastAsia="Times New Roman" w:hAnsi="Times New Roman"/>
          <w:sz w:val="9"/>
          <w:szCs w:val="9"/>
          <w:color w:val="auto"/>
        </w:rPr>
        <w:t>(2)</w:t>
      </w:r>
    </w:p>
    <w:p>
      <w:pPr>
        <w:ind w:left="460" w:right="40"/>
        <w:spacing w:after="0" w:line="251" w:lineRule="auto"/>
        <w:rPr>
          <w:sz w:val="20"/>
          <w:szCs w:val="20"/>
          <w:color w:val="auto"/>
        </w:rPr>
      </w:pPr>
      <w:r>
        <w:rPr>
          <w:rFonts w:ascii="Times New Roman" w:cs="Times New Roman" w:eastAsia="Times New Roman" w:hAnsi="Times New Roman"/>
          <w:sz w:val="18"/>
          <w:szCs w:val="18"/>
          <w:color w:val="auto"/>
        </w:rPr>
        <w:t>Represents Class E units in the Operating Partnership (the “Mandatorily Redeemable Instruments”) held by the Adviser that are mandatorily redeemable and only subject to delays to the continuous obligation to ultimately redeem such units once sufficient availability exists under the share repurchase agreements. Therefore, the Mandatorily Redeemable Instruments held by the Adviser are classified as a liability pursuant to Topic 480 — Distinguishing Liabilities from Equity and are initially presented at the initial funding amount received, which is equivalent to fair value at the issuance dates. Subsequently, the Mandatorily Redeemable Instruments are carried at their cash redemption value as if the units were repurchased or redeemable at the reporting date, which equals NAV per Class E unit of $11.50. As of April 30, 2026, there were approximately 0.7 million Class E units included in Mandatorily Redeemable Instruments.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8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breakdown of our total NAV and NAV per share/unit by class as of April 30, 2026 ($ and shares/units in thousands, except per share/unit data):</w:t>
      </w:r>
    </w:p>
    <w:p>
      <w:pPr>
        <w:sectPr>
          <w:pgSz w:w="11900" w:h="16838" w:orient="portrait"/>
          <w:cols w:equalWidth="0" w:num="1">
            <w:col w:w="11240"/>
          </w:cols>
          <w:pgMar w:left="320" w:top="1440" w:right="339" w:bottom="1440" w:gutter="0" w:footer="0" w:header="0"/>
        </w:sect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NAV Per Share/Unit</w:t>
            </w:r>
          </w:p>
        </w:tc>
        <w:tc>
          <w:tcPr>
            <w:tcW w:w="120" w:type="dxa"/>
            <w:vAlign w:val="bottom"/>
          </w:tcPr>
          <w:p>
            <w:pPr>
              <w:spacing w:after="0"/>
              <w:rPr>
                <w:sz w:val="13"/>
                <w:szCs w:val="13"/>
                <w:color w:val="auto"/>
              </w:rPr>
            </w:pPr>
          </w:p>
        </w:tc>
        <w:tc>
          <w:tcPr>
            <w:tcW w:w="62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0" w:type="dxa"/>
            <w:vAlign w:val="bottom"/>
          </w:tcPr>
          <w:p>
            <w:pPr>
              <w:spacing w:after="0"/>
              <w:rPr>
                <w:sz w:val="1"/>
                <w:szCs w:val="1"/>
                <w:color w:val="auto"/>
              </w:rPr>
            </w:pPr>
          </w:p>
        </w:tc>
      </w:tr>
      <w:tr>
        <w:trPr>
          <w:trHeight w:val="173"/>
        </w:trPr>
        <w:tc>
          <w:tcPr>
            <w:tcW w:w="32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26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Number of outstanding shares/units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108"/>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NAV per share/unit</w:t>
            </w:r>
          </w:p>
        </w:tc>
        <w:tc>
          <w:tcPr>
            <w:tcW w:w="120" w:type="dxa"/>
            <w:vAlign w:val="bottom"/>
            <w:vMerge w:val="restart"/>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2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bl>
    <w:p>
      <w:pPr>
        <w:spacing w:after="0" w:line="190" w:lineRule="auto"/>
        <w:rPr>
          <w:sz w:val="20"/>
          <w:szCs w:val="20"/>
          <w:color w:val="auto"/>
        </w:rPr>
      </w:pPr>
      <w:r>
        <w:rPr>
          <w:rFonts w:ascii="Times New Roman" w:cs="Times New Roman" w:eastAsia="Times New Roman" w:hAnsi="Times New Roman"/>
          <w:sz w:val="9"/>
          <w:szCs w:val="9"/>
          <w:color w:val="auto"/>
        </w:rPr>
        <w:t>(1)</w:t>
      </w:r>
    </w:p>
    <w:p>
      <w:pPr>
        <w:jc w:val="right"/>
        <w:spacing w:after="0"/>
        <w:rPr>
          <w:sz w:val="20"/>
          <w:szCs w:val="20"/>
          <w:color w:val="auto"/>
        </w:rPr>
      </w:pPr>
      <w:r>
        <w:rPr>
          <w:rFonts w:ascii="Times New Roman" w:cs="Times New Roman" w:eastAsia="Times New Roman" w:hAnsi="Times New Roman"/>
          <w:sz w:val="18"/>
          <w:szCs w:val="18"/>
          <w:color w:val="auto"/>
        </w:rPr>
        <w:t>Class E units held by the Special Limited Partner.</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Partnershi</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00" w:type="dxa"/>
            <w:vAlign w:val="bottom"/>
            <w:gridSpan w:val="2"/>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Class I</w:t>
            </w:r>
          </w:p>
        </w:tc>
        <w:tc>
          <w:tcPr>
            <w:tcW w:w="260" w:type="dxa"/>
            <w:vAlign w:val="bottom"/>
          </w:tcPr>
          <w:p>
            <w:pPr>
              <w:spacing w:after="0"/>
              <w:rPr>
                <w:sz w:val="14"/>
                <w:szCs w:val="14"/>
                <w:color w:val="auto"/>
              </w:rPr>
            </w:pPr>
          </w:p>
        </w:tc>
        <w:tc>
          <w:tcPr>
            <w:tcW w:w="60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Class S</w:t>
            </w:r>
          </w:p>
        </w:tc>
        <w:tc>
          <w:tcPr>
            <w:tcW w:w="2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Class 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Class E</w:t>
            </w:r>
          </w:p>
        </w:tc>
        <w:tc>
          <w:tcPr>
            <w:tcW w:w="24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Class X</w:t>
            </w:r>
          </w:p>
        </w:tc>
        <w:tc>
          <w:tcPr>
            <w:tcW w:w="220" w:type="dxa"/>
            <w:vAlign w:val="bottom"/>
          </w:tcPr>
          <w:p>
            <w:pPr>
              <w:spacing w:after="0"/>
              <w:rPr>
                <w:sz w:val="14"/>
                <w:szCs w:val="14"/>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Class Y</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84"/>
              <w:spacing w:after="0" w:line="166" w:lineRule="exact"/>
              <w:rPr>
                <w:sz w:val="20"/>
                <w:szCs w:val="20"/>
                <w:color w:val="auto"/>
              </w:rPr>
            </w:pPr>
            <w:r>
              <w:rPr>
                <w:rFonts w:ascii="Times New Roman" w:cs="Times New Roman" w:eastAsia="Times New Roman" w:hAnsi="Times New Roman"/>
                <w:sz w:val="19"/>
                <w:szCs w:val="19"/>
                <w:b w:val="1"/>
                <w:bCs w:val="1"/>
                <w:color w:val="auto"/>
                <w:vertAlign w:val="superscript"/>
              </w:rPr>
              <w:t>p</w:t>
            </w:r>
            <w:r>
              <w:rPr>
                <w:rFonts w:ascii="Times New Roman" w:cs="Times New Roman" w:eastAsia="Times New Roman" w:hAnsi="Times New Roman"/>
                <w:sz w:val="8"/>
                <w:szCs w:val="8"/>
                <w:b w:val="1"/>
                <w:bCs w:val="1"/>
                <w:color w:val="auto"/>
              </w:rPr>
              <w:t xml:space="preserve">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5"/>
        </w:trPr>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5"/>
              <w:spacing w:after="0" w:line="15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5"/>
              <w:spacing w:after="0" w:line="15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Pr>
          <w:p>
            <w:pPr>
              <w:spacing w:after="0"/>
              <w:rPr>
                <w:sz w:val="13"/>
                <w:szCs w:val="13"/>
                <w:color w:val="auto"/>
              </w:rPr>
            </w:pPr>
          </w:p>
        </w:tc>
        <w:tc>
          <w:tcPr>
            <w:tcW w:w="58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97"/>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3"/>
                <w:szCs w:val="13"/>
                <w:color w:val="auto"/>
              </w:rPr>
            </w:pPr>
          </w:p>
        </w:tc>
        <w:tc>
          <w:tcPr>
            <w:tcW w:w="580" w:type="dxa"/>
            <w:vAlign w:val="bottom"/>
            <w:tcBorders>
              <w:bottom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3"/>
                <w:szCs w:val="13"/>
                <w:color w:val="auto"/>
              </w:rPr>
            </w:pPr>
          </w:p>
        </w:tc>
        <w:tc>
          <w:tcPr>
            <w:tcW w:w="580" w:type="dxa"/>
            <w:vAlign w:val="bottom"/>
            <w:tcBorders>
              <w:bottom w:val="single" w:sz="8" w:color="auto"/>
            </w:tcBorders>
          </w:tcPr>
          <w:p>
            <w:pPr>
              <w:jc w:val="right"/>
              <w:ind w:right="1"/>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4"/>
              <w:spacing w:after="0" w:line="155" w:lineRule="exact"/>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718,513</w:t>
            </w:r>
          </w:p>
        </w:tc>
        <w:tc>
          <w:tcPr>
            <w:tcW w:w="48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580" w:type="dxa"/>
            <w:vAlign w:val="bottom"/>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116,2</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1,083,83</w:t>
            </w: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520" w:type="dxa"/>
            <w:vAlign w:val="bottom"/>
          </w:tcPr>
          <w:p>
            <w:pPr>
              <w:jc w:val="right"/>
              <w:spacing w:after="0" w:line="144" w:lineRule="exact"/>
              <w:rPr>
                <w:sz w:val="20"/>
                <w:szCs w:val="20"/>
                <w:color w:val="auto"/>
              </w:rPr>
            </w:pPr>
            <w:r>
              <w:rPr>
                <w:rFonts w:ascii="Times New Roman" w:cs="Times New Roman" w:eastAsia="Times New Roman" w:hAnsi="Times New Roman"/>
                <w:sz w:val="16"/>
                <w:szCs w:val="16"/>
                <w:color w:val="auto"/>
              </w:rPr>
              <w:t>26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6"/>
                <w:szCs w:val="16"/>
                <w:color w:val="auto"/>
              </w:rPr>
              <w:t>09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62,475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96,244</w:t>
            </w:r>
          </w:p>
        </w:tc>
        <w:tc>
          <w:tcPr>
            <w:tcW w:w="0" w:type="dxa"/>
            <w:vAlign w:val="bottom"/>
          </w:tcPr>
          <w:p>
            <w:pPr>
              <w:spacing w:after="0"/>
              <w:rPr>
                <w:sz w:val="1"/>
                <w:szCs w:val="1"/>
                <w:color w:val="auto"/>
              </w:rPr>
            </w:pPr>
          </w:p>
        </w:tc>
      </w:tr>
      <w:tr>
        <w:trPr>
          <w:trHeight w:val="126"/>
        </w:trPr>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9"/>
                <w:szCs w:val="19"/>
                <w:color w:val="auto"/>
              </w:rPr>
            </w:pPr>
          </w:p>
        </w:tc>
        <w:tc>
          <w:tcPr>
            <w:tcW w:w="24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tcPr>
          <w:p>
            <w:pPr>
              <w:spacing w:after="0"/>
              <w:rPr>
                <w:sz w:val="19"/>
                <w:szCs w:val="19"/>
                <w:color w:val="auto"/>
              </w:rPr>
            </w:pPr>
          </w:p>
        </w:tc>
        <w:tc>
          <w:tcPr>
            <w:tcW w:w="24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$ 11.29</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-705485</wp:posOffset>
            </wp:positionV>
            <wp:extent cx="7132320" cy="274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-147955</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68" w:lineRule="exact"/>
        <w:rPr>
          <w:sz w:val="20"/>
          <w:szCs w:val="20"/>
          <w:color w:val="auto"/>
        </w:rPr>
      </w:pPr>
    </w:p>
    <w:p>
      <w:pPr>
        <w:sectPr>
          <w:pgSz w:w="11900" w:h="16838" w:orient="portrait"/>
          <w:cols w:equalWidth="0" w:num="2">
            <w:col w:w="4060" w:space="140"/>
            <w:col w:w="7040"/>
          </w:cols>
          <w:pgMar w:left="320" w:top="1440" w:right="339" w:bottom="1440" w:gutter="0" w:footer="0" w:header="0"/>
          <w:type w:val="continuous"/>
        </w:sect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Set forth below are the weighted averages of the key assumptions in the discounted cash flow methodology used in the April 30, 2026 valuations, based on property types. Once we value more than one single-family rental property, we will include the key assumptions for such property type.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Property Type</w:t>
            </w:r>
          </w:p>
        </w:tc>
        <w:tc>
          <w:tcPr>
            <w:tcW w:w="120" w:type="dxa"/>
            <w:vAlign w:val="bottom"/>
          </w:tcPr>
          <w:p>
            <w:pPr>
              <w:spacing w:after="0"/>
              <w:rPr>
                <w:sz w:val="15"/>
                <w:szCs w:val="15"/>
                <w:color w:val="auto"/>
              </w:rPr>
            </w:pP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300" w:type="dxa"/>
            <w:vAlign w:val="bottom"/>
          </w:tcPr>
          <w:p>
            <w:pPr>
              <w:spacing w:after="0"/>
              <w:rPr>
                <w:sz w:val="15"/>
                <w:szCs w:val="15"/>
                <w:color w:val="auto"/>
              </w:rPr>
            </w:pPr>
          </w:p>
        </w:tc>
        <w:tc>
          <w:tcPr>
            <w:tcW w:w="28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Exit Capitalization Rate</w:t>
            </w:r>
          </w:p>
        </w:tc>
        <w:tc>
          <w:tcPr>
            <w:tcW w:w="180" w:type="dxa"/>
            <w:vAlign w:val="bottom"/>
          </w:tcPr>
          <w:p>
            <w:pPr>
              <w:spacing w:after="0"/>
              <w:rPr>
                <w:sz w:val="15"/>
                <w:szCs w:val="15"/>
                <w:color w:val="auto"/>
              </w:rPr>
            </w:pPr>
          </w:p>
        </w:tc>
      </w:tr>
      <w:tr>
        <w:trPr>
          <w:trHeight w:val="21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Multifamily</w:t>
            </w:r>
          </w:p>
        </w:tc>
        <w:tc>
          <w:tcPr>
            <w:tcW w:w="19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7.31%</w:t>
            </w:r>
          </w:p>
        </w:tc>
        <w:tc>
          <w:tcPr>
            <w:tcW w:w="3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5.89%</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7.94%</w:t>
            </w:r>
          </w:p>
        </w:tc>
        <w:tc>
          <w:tcPr>
            <w:tcW w:w="3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6.43%</w:t>
            </w: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19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7.64%</w:t>
            </w:r>
          </w:p>
        </w:tc>
        <w:tc>
          <w:tcPr>
            <w:tcW w:w="3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6.63%</w:t>
            </w:r>
          </w:p>
        </w:tc>
      </w:tr>
    </w:tbl>
    <w:p>
      <w:pPr>
        <w:spacing w:after="0" w:line="9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These assumptions are determined by our independent valuation advisor and reviewed by the Adviser. A change in these assumptions would impact the calculation of the value of our property investments. For example, assuming all other factors remain unchanged, the changes listed below would result in the following effects on our investment values: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20" w:type="dxa"/>
            <w:vAlign w:val="bottom"/>
          </w:tcPr>
          <w:p>
            <w:pPr>
              <w:spacing w:after="0"/>
              <w:rPr>
                <w:sz w:val="13"/>
                <w:szCs w:val="13"/>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Hypothetical Change</w:t>
            </w:r>
          </w:p>
        </w:tc>
        <w:tc>
          <w:tcPr>
            <w:tcW w:w="180" w:type="dxa"/>
            <w:vAlign w:val="bottom"/>
          </w:tcPr>
          <w:p>
            <w:pPr>
              <w:spacing w:after="0"/>
              <w:rPr>
                <w:sz w:val="13"/>
                <w:szCs w:val="13"/>
                <w:color w:val="auto"/>
              </w:rPr>
            </w:pPr>
          </w:p>
        </w:tc>
        <w:tc>
          <w:tcPr>
            <w:tcW w:w="13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60" w:type="dxa"/>
            <w:vAlign w:val="bottom"/>
          </w:tcPr>
          <w:p>
            <w:pPr>
              <w:spacing w:after="0"/>
              <w:rPr>
                <w:sz w:val="13"/>
                <w:szCs w:val="13"/>
                <w:color w:val="auto"/>
              </w:rPr>
            </w:pPr>
          </w:p>
        </w:tc>
        <w:tc>
          <w:tcPr>
            <w:tcW w:w="13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Retail Investment</w:t>
            </w:r>
          </w:p>
        </w:tc>
        <w:tc>
          <w:tcPr>
            <w:tcW w:w="0" w:type="dxa"/>
            <w:vAlign w:val="bottom"/>
          </w:tcPr>
          <w:p>
            <w:pPr>
              <w:spacing w:after="0"/>
              <w:rPr>
                <w:sz w:val="1"/>
                <w:szCs w:val="1"/>
                <w:color w:val="auto"/>
              </w:rPr>
            </w:pPr>
          </w:p>
        </w:tc>
      </w:tr>
      <w:tr>
        <w:trPr>
          <w:trHeight w:val="173"/>
        </w:trPr>
        <w:tc>
          <w:tcPr>
            <w:tcW w:w="47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Investment Values</w:t>
            </w:r>
          </w:p>
        </w:tc>
        <w:tc>
          <w:tcPr>
            <w:tcW w:w="160" w:type="dxa"/>
            <w:vAlign w:val="bottom"/>
          </w:tcPr>
          <w:p>
            <w:pPr>
              <w:spacing w:after="0"/>
              <w:rPr>
                <w:sz w:val="15"/>
                <w:szCs w:val="15"/>
                <w:color w:val="auto"/>
              </w:rPr>
            </w:pP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Investment Values</w:t>
            </w:r>
          </w:p>
        </w:tc>
        <w:tc>
          <w:tcPr>
            <w:tcW w:w="160" w:type="dxa"/>
            <w:vAlign w:val="bottom"/>
          </w:tcPr>
          <w:p>
            <w:pPr>
              <w:spacing w:after="0"/>
              <w:rPr>
                <w:sz w:val="15"/>
                <w:szCs w:val="15"/>
                <w:color w:val="auto"/>
              </w:rPr>
            </w:pPr>
          </w:p>
        </w:tc>
        <w:tc>
          <w:tcPr>
            <w:tcW w:w="11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Values</w:t>
            </w: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shd w:val="clear" w:color="auto" w:fill="CFF0FC"/>
          </w:tcPr>
          <w:p>
            <w:pPr>
              <w:spacing w:after="0"/>
              <w:rPr>
                <w:sz w:val="18"/>
                <w:szCs w:val="18"/>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0.25% decrease</w:t>
            </w:r>
          </w:p>
        </w:tc>
        <w:tc>
          <w:tcPr>
            <w:tcW w:w="154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1.90%</w:t>
            </w:r>
          </w:p>
        </w:tc>
        <w:tc>
          <w:tcPr>
            <w:tcW w:w="152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1.94%</w:t>
            </w:r>
          </w:p>
        </w:tc>
        <w:tc>
          <w:tcPr>
            <w:tcW w:w="128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w:t>
            </w: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0.25% increase</w:t>
            </w:r>
          </w:p>
        </w:tc>
        <w:tc>
          <w:tcPr>
            <w:tcW w:w="15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(1.90)%</w:t>
            </w:r>
          </w:p>
        </w:tc>
        <w:tc>
          <w:tcPr>
            <w:tcW w:w="152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(1.82)%</w:t>
            </w:r>
          </w:p>
        </w:tc>
        <w:tc>
          <w:tcPr>
            <w:tcW w:w="12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Exit Capitalization Rate</w:t>
            </w:r>
          </w:p>
        </w:tc>
        <w:tc>
          <w:tcPr>
            <w:tcW w:w="120" w:type="dxa"/>
            <w:vAlign w:val="bottom"/>
            <w:shd w:val="clear" w:color="auto" w:fill="CFF0FC"/>
          </w:tcPr>
          <w:p>
            <w:pPr>
              <w:spacing w:after="0"/>
              <w:rPr>
                <w:sz w:val="18"/>
                <w:szCs w:val="18"/>
                <w:color w:val="auto"/>
              </w:rPr>
            </w:pPr>
          </w:p>
        </w:tc>
        <w:tc>
          <w:tcPr>
            <w:tcW w:w="2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0.25% decrease</w:t>
            </w:r>
          </w:p>
        </w:tc>
        <w:tc>
          <w:tcPr>
            <w:tcW w:w="154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2.66%</w:t>
            </w:r>
          </w:p>
        </w:tc>
        <w:tc>
          <w:tcPr>
            <w:tcW w:w="152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2.51%</w:t>
            </w:r>
          </w:p>
        </w:tc>
        <w:tc>
          <w:tcPr>
            <w:tcW w:w="128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w:t>
            </w:r>
          </w:p>
        </w:tc>
        <w:tc>
          <w:tcPr>
            <w:tcW w:w="12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0.25% increase</w:t>
            </w:r>
          </w:p>
        </w:tc>
        <w:tc>
          <w:tcPr>
            <w:tcW w:w="15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(2.54)%</w:t>
            </w:r>
          </w:p>
        </w:tc>
        <w:tc>
          <w:tcPr>
            <w:tcW w:w="152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(2.19)%</w:t>
            </w:r>
          </w:p>
        </w:tc>
        <w:tc>
          <w:tcPr>
            <w:tcW w:w="12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of Our Current Public Offering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February 4, 2026, we commenced our second public offering, pursuant to which we are currently offering on a continuous basis up to $4.8 billion in shares of our common stock, consisting of up to $3.8 billion in shares in our primary offering and up to $1.0 billion in shares pursuant to our distribution reinvestment plan. As of the date hereof, we have issued and sold 8,472 Class D and 8,214,492 Class I shares in the primary offering for total proceeds of approximately $87.2 million. We have issued 9,897 Class D and 81,178 Class I shares for a total value of approximately $1.0 million pursuant to our distribution reinvestment plan. As of the date hereof, we have not sold any Class T or Class S shares in this offering. We intend to continue selling shares in the public offering on a monthly basis.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Updates to the Prospectus</w:t>
      </w:r>
    </w:p>
    <w:p>
      <w:pPr>
        <w:spacing w:after="0" w:line="119"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Effective as of the close of business on June 1, 2026, the following Washington suitability standard is hereby added to the “Suitability Standards” section of the Prospectus:</w:t>
      </w:r>
    </w:p>
    <w:p>
      <w:pPr>
        <w:spacing w:after="0" w:line="5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u w:val="single" w:color="auto"/>
          <w:color w:val="auto"/>
        </w:rPr>
        <w:t>Washington Investors</w:t>
      </w:r>
      <w:r>
        <w:rPr>
          <w:rFonts w:ascii="Times New Roman" w:cs="Times New Roman" w:eastAsia="Times New Roman" w:hAnsi="Times New Roman"/>
          <w:sz w:val="18"/>
          <w:szCs w:val="18"/>
          <w:color w:val="auto"/>
        </w:rPr>
        <w:t>. A Washington investor’s aggregate investment in our company and other non-traded direct participation programs shall not exceed 10% of such investor’s liquid net worth at the time of investment in us. This concentration limit does not apply to investments made through our distribution reinvestment plan nor to an investor who is an “accredited investor” as defined in Rule 501(a) of Regulation D under the Securities Act.</w:t>
      </w:r>
    </w:p>
    <w:p>
      <w:pPr>
        <w:spacing w:after="0" w:line="66"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Effective as of the close of business on June 1, 2026, the Form of Subscription Agreement set forth in Appendix B of the Prospectus is hereby deleted and replaced with the Form of Subscription Agreement attached to this Supplement as Appendix 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disclosure is added to the “Experts” section of the Prospectus.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estimated market values of our investments in real estate as of April 30, 2026 presented on page 2 of this Supplement under the section “April 30, 2026 NAV Per Share” have been prepared by SitusAMC Real Estate Valuation Services, LLC, an independent valuation firm, and are included in this Supplement given the authority of such firm as experts in property valuations and appraisals. SitusAMC Real Estate Valuation Services, LLC will not calculate or be responsible for our NAV per share for any class of our shares.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Appendix A</w:t>
      </w:r>
      <w:r>
        <w:rPr>
          <w:sz w:val="1"/>
          <w:szCs w:val="1"/>
          <w:color w:val="auto"/>
        </w:rPr>
        <w:drawing>
          <wp:inline distT="0" distB="0" distL="0" distR="0">
            <wp:extent cx="5349240" cy="7200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720090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889635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60"/>
          </w:cols>
          <w:pgMar w:left="1260" w:top="1436" w:right="127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9025890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7098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7098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8957310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7166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7166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8896985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7106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7106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8734425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43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43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8879840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70891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7089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8794750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7003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7003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8528685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73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73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8785860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95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95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8726170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348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3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2026-05-13T15:11:19Z</dcterms:created>
  <dcterms:modified xsi:type="dcterms:W3CDTF">2026-05-13T15:11:19Z</dcterms:modified>
</cp:coreProperties>
</file>