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Registration No. 333-288565</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0"/>
        <w:jc w:val="center"/>
        <w:rPr/>
      </w:pPr>
      <w:r>
        <w:rPr>
          <w:rFonts w:ascii="Times New Roman;serif" w:hAnsi="Times New Roman;serif"/>
          <w:b/>
          <w:color w:val="000000"/>
          <w:sz w:val="20"/>
        </w:rPr>
        <w:t>SUPPLEMENT NO. 4</w:t>
      </w:r>
      <w:r>
        <w:rPr>
          <w:color w:val="000000"/>
        </w:rPr>
        <w:t xml:space="preserve"> </w:t>
      </w:r>
      <w:r>
        <w:rPr>
          <w:rFonts w:ascii="Times New Roman;serif" w:hAnsi="Times New Roman;serif"/>
          <w:b/>
          <w:color w:val="000000"/>
          <w:sz w:val="20"/>
        </w:rPr>
        <w:t>DATED JULY 15, 2026</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TO THE PROSPECTUS DATED APRIL 15, 2026</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This prospectus supplement (this “Supplement”) is part of and should be read in conjunction with the prospectus of J.P. Morgan Real Estate Income Trust, Inc., dated April 15, 2026 (the “Prospectus”). Unless otherwise defined herein, capitalized terms used in this Supplement shall have the same meanings as in the Prospectus.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purposes of this Supplement are as follows:</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 xml:space="preserve">to disclose the acquisition of office, retail, and industrial properties and the origination of a real estate debt investment; </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disclose the transaction price for each class of our common stock as of August 1, 2026;</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disclose the calculation of our June 30, 2026 net asset value (“NAV”) per share for each class of our common stock;</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provide an update on the status of our public offering; and</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to disclose certain updates to our Prospectus.</w:t>
      </w:r>
    </w:p>
    <w:p>
      <w:pPr>
        <w:pStyle w:val="TextBody"/>
        <w:bidi w:val="0"/>
        <w:spacing w:lineRule="auto" w:line="276" w:before="80" w:after="120"/>
        <w:jc w:val="left"/>
        <w:rPr>
          <w:rFonts w:ascii="Times New Roman;serif" w:hAnsi="Times New Roman;serif"/>
          <w:b/>
          <w:color w:val="000000"/>
          <w:sz w:val="20"/>
        </w:rPr>
      </w:pPr>
      <w:r>
        <w:rPr>
          <w:rFonts w:ascii="Times New Roman;serif" w:hAnsi="Times New Roman;serif"/>
          <w:b/>
          <w:color w:val="000000"/>
          <w:sz w:val="20"/>
        </w:rPr>
        <w:t>Real Estate Acquisitions and Origination of Real Estate Debt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25, 2026, we acquired a seven-building office portfolio in Wakefield, Massachusetts for $61.0 million, excluding closing costs.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July 1, 2026, we closed on a $60.0 million mortgage loan to finance the acquisition of a neighborhood shopping center in Dallas, Texas. The mortgage loan has an initial term of three years and two one-year extension options.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July 2, 2026, we acquired a 132,282 square foot neighborhood retail center located in Southlake, Texas for $41.5 million, excluding closing costs.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July 7, 2025, we acquired a 290,503 square foot industrial facility in Deerfield Beach, Florida for $65.0 million, excluding closing costs. </w:t>
      </w:r>
    </w:p>
    <w:p>
      <w:pPr>
        <w:pStyle w:val="TextBody"/>
        <w:bidi w:val="0"/>
        <w:spacing w:lineRule="auto" w:line="276" w:before="200" w:after="120"/>
        <w:jc w:val="left"/>
        <w:rPr/>
      </w:pPr>
      <w:r>
        <w:rPr>
          <w:rFonts w:ascii="Times New Roman;serif" w:hAnsi="Times New Roman;serif"/>
          <w:b/>
          <w:color w:val="000000"/>
          <w:sz w:val="20"/>
        </w:rPr>
        <w:t>August 1, 2026</w:t>
      </w:r>
      <w:r>
        <w:rPr>
          <w:color w:val="000000"/>
        </w:rPr>
        <w:t xml:space="preserve"> </w:t>
      </w:r>
      <w:r>
        <w:rPr>
          <w:rFonts w:ascii="Times New Roman;serif" w:hAnsi="Times New Roman;serif"/>
          <w:b/>
          <w:color w:val="000000"/>
          <w:sz w:val="20"/>
        </w:rPr>
        <w:t>Transaction Price</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transaction price for each share class of our common stock sold in this offering for subscriptions accepted as of August 1, 2026 (and repurchases as of July 31, 2026) is as follows:</w:t>
      </w:r>
    </w:p>
    <w:tbl>
      <w:tblPr>
        <w:tblW w:w="2175" w:type="dxa"/>
        <w:jc w:val="center"/>
        <w:tblInd w:w="0" w:type="dxa"/>
        <w:tblLayout w:type="fixed"/>
        <w:tblCellMar>
          <w:top w:w="28" w:type="dxa"/>
          <w:left w:w="28" w:type="dxa"/>
          <w:bottom w:w="28" w:type="dxa"/>
          <w:right w:w="28" w:type="dxa"/>
        </w:tblCellMar>
      </w:tblPr>
      <w:tblGrid>
        <w:gridCol w:w="266"/>
        <w:gridCol w:w="234"/>
        <w:gridCol w:w="235"/>
        <w:gridCol w:w="309"/>
        <w:gridCol w:w="904"/>
        <w:gridCol w:w="22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Transaction Price</w:t>
              <w:br/>
              <w:t>(per share)</w:t>
            </w:r>
          </w:p>
        </w:tc>
      </w:tr>
      <w:tr>
        <w:trPr/>
        <w:tc>
          <w:tcPr>
            <w:tcW w:w="7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D</w:t>
            </w:r>
          </w:p>
        </w:tc>
        <w:tc>
          <w:tcPr>
            <w:tcW w:w="30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2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I</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30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T</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no outstanding Class S shares. As a result, the transaction price for our Class S shares is equal to the NAV per share for our Class E shares as of June 30, 2026. Class E, Class X and Class Y shares are not sold as a part of this offering. The purchase price of our common stock for each share class equals the transaction price of such class, plus applicable upfront selling commissions and dealer manager fees. The repurchase price for each share class equals the transaction price of such class.</w:t>
      </w:r>
    </w:p>
    <w:p>
      <w:pPr>
        <w:pStyle w:val="TextBody"/>
        <w:bidi w:val="0"/>
        <w:spacing w:lineRule="auto" w:line="276" w:before="80" w:after="120"/>
        <w:jc w:val="left"/>
        <w:rPr>
          <w:rFonts w:ascii="Times New Roman;serif" w:hAnsi="Times New Roman;serif"/>
          <w:b/>
          <w:color w:val="000000"/>
          <w:sz w:val="20"/>
        </w:rPr>
      </w:pPr>
      <w:r>
        <w:rPr>
          <w:rFonts w:ascii="Times New Roman;serif" w:hAnsi="Times New Roman;serif"/>
          <w:b/>
          <w:color w:val="000000"/>
          <w:sz w:val="20"/>
        </w:rPr>
        <w:t>June 30, 2026 NAV Per Share</w:t>
      </w:r>
    </w:p>
    <w:p>
      <w:pPr>
        <w:pStyle w:val="TextBody"/>
        <w:bidi w:val="0"/>
        <w:spacing w:lineRule="auto" w:line="276" w:before="0" w:after="320"/>
        <w:jc w:val="left"/>
        <w:rPr/>
      </w:pPr>
      <w:r>
        <w:rPr>
          <w:rFonts w:ascii="Times New Roman;serif" w:hAnsi="Times New Roman;serif"/>
          <w:b w:val="false"/>
          <w:color w:val="000000"/>
          <w:sz w:val="20"/>
        </w:rPr>
        <w:t xml:space="preserve">We calculate NAV per share in accordance with the valuation guidelines that have been approved by our board of directors. Our NAV per share, which is updated as of the last calendar day of each month, is posted on our website at </w:t>
      </w:r>
      <w:r>
        <w:rPr>
          <w:rFonts w:ascii="Times New Roman;serif" w:hAnsi="Times New Roman;serif"/>
          <w:b w:val="false"/>
          <w:i/>
          <w:color w:val="000000"/>
          <w:sz w:val="20"/>
        </w:rPr>
        <w:t xml:space="preserve">www.jpmreit.com. </w:t>
      </w:r>
      <w:r>
        <w:rPr>
          <w:rFonts w:ascii="Times New Roman;serif" w:hAnsi="Times New Roman;serif"/>
          <w:b w:val="false"/>
          <w:color w:val="000000"/>
          <w:sz w:val="20"/>
        </w:rPr>
        <w:t>Please refer to “Net Asset Value Calculation and Valuation Guidelines” in the Prospectus for how our NAV is determined. The Adviser is ultimately responsible for determining our NAV.</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Our total NAV presented in the following tables includes the aggregate NAV of our common stock, as well as partnership interests of the Operating Partnership held by the Special Limited Partner. The following table provides a breakdown of the major components of our total NAV as of June 30, 2026 ($ and shares/units in thousands):</w:t>
      </w:r>
    </w:p>
    <w:tbl>
      <w:tblPr>
        <w:tblW w:w="6498" w:type="dxa"/>
        <w:jc w:val="left"/>
        <w:tblInd w:w="0" w:type="dxa"/>
        <w:tblLayout w:type="fixed"/>
        <w:tblCellMar>
          <w:top w:w="28" w:type="dxa"/>
          <w:left w:w="28" w:type="dxa"/>
          <w:bottom w:w="28" w:type="dxa"/>
          <w:right w:w="28" w:type="dxa"/>
        </w:tblCellMar>
      </w:tblPr>
      <w:tblGrid>
        <w:gridCol w:w="1751"/>
        <w:gridCol w:w="1537"/>
        <w:gridCol w:w="1542"/>
        <w:gridCol w:w="109"/>
        <w:gridCol w:w="109"/>
        <w:gridCol w:w="109"/>
        <w:gridCol w:w="211"/>
        <w:gridCol w:w="976"/>
        <w:gridCol w:w="154"/>
      </w:tblGrid>
      <w:tr>
        <w:trPr/>
        <w:tc>
          <w:tcPr>
            <w:tcW w:w="175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Components of NAV</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83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1,445,923 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estate-related and other securities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(650,056)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Stockholder servicing fees payable the following month</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joint ventures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1,119,569 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outstanding shares/units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99,227 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Stockholder servicing fees only apply to Class T, Class S, Class D and Class Y shares. For purposes of NAV, we recognize the stockholder servicing fee as a reduction of NAV on a monthly basis as such fee is paid. Under accounting principles generally accepted in the United States of America (“GAAP”), we accrue the lifetime cost of the stockholder servicing fee as an offering cost at the time we sell Class T, Class S, Class D and Class Y shares. The stockholder servicing fee on Class D shares was waived as of June 30, 2026, and the NAV attributable to current holders of Class D shares will not be included in the computation of stockholder servicing fees charged on Class D shares in perpetuity. As of June 30, 2026, we had accrued under GAAP stockholder servicing fees of $8.5 million.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our total NAV and NAV per share/unit by class as of June 30, 2026 ($ and shares/units in thousands, except per share/unit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67" w:type="dxa"/>
        <w:jc w:val="left"/>
        <w:tblInd w:w="0" w:type="dxa"/>
        <w:tblLayout w:type="fixed"/>
        <w:tblCellMar>
          <w:top w:w="28" w:type="dxa"/>
          <w:left w:w="28" w:type="dxa"/>
          <w:bottom w:w="28" w:type="dxa"/>
          <w:right w:w="28" w:type="dxa"/>
        </w:tblCellMar>
      </w:tblPr>
      <w:tblGrid>
        <w:gridCol w:w="783"/>
        <w:gridCol w:w="686"/>
        <w:gridCol w:w="691"/>
        <w:gridCol w:w="109"/>
        <w:gridCol w:w="109"/>
        <w:gridCol w:w="109"/>
        <w:gridCol w:w="211"/>
        <w:gridCol w:w="976"/>
        <w:gridCol w:w="109"/>
        <w:gridCol w:w="109"/>
        <w:gridCol w:w="109"/>
        <w:gridCol w:w="109"/>
        <w:gridCol w:w="889"/>
        <w:gridCol w:w="889"/>
        <w:gridCol w:w="892"/>
        <w:gridCol w:w="109"/>
        <w:gridCol w:w="109"/>
        <w:gridCol w:w="109"/>
        <w:gridCol w:w="335"/>
        <w:gridCol w:w="980"/>
        <w:gridCol w:w="245"/>
      </w:tblGrid>
      <w:tr>
        <w:trPr/>
        <w:tc>
          <w:tcPr>
            <w:tcW w:w="7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 Class/Unit</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asset value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outstanding shares/units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NAV per share/unit</w:t>
            </w:r>
          </w:p>
        </w:tc>
      </w:tr>
      <w:tr>
        <w:trPr/>
        <w:tc>
          <w:tcPr>
            <w:tcW w:w="216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D Shares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24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I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S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w:t>
            </w:r>
            <w:r>
              <w:rPr>
                <w:color w:val="000000"/>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E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X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w:t>
            </w:r>
            <w:r>
              <w:rPr>
                <w:color w:val="000000"/>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Y Shares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6"/>
              </w:rPr>
              <w:t>Operating Partnership Units</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1,119,569 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99,227 </w:t>
            </w:r>
          </w:p>
        </w:tc>
        <w:tc>
          <w:tcPr>
            <w:tcW w:w="89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Class E units held by the Special Limited Partner.</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Set forth below are the weighted averages of the key assumptions in the discounted cash flow methodology used in the June 30, 2026 valuations, based on property types. Once we value more than one single-family rental property or more than one office property, we will include the key assumptions for such property type.</w:t>
      </w:r>
    </w:p>
    <w:tbl>
      <w:tblPr>
        <w:tblW w:w="4892" w:type="dxa"/>
        <w:jc w:val="center"/>
        <w:tblInd w:w="0" w:type="dxa"/>
        <w:tblLayout w:type="fixed"/>
        <w:tblCellMar>
          <w:top w:w="28" w:type="dxa"/>
          <w:left w:w="28" w:type="dxa"/>
          <w:bottom w:w="28" w:type="dxa"/>
          <w:right w:w="28" w:type="dxa"/>
        </w:tblCellMar>
      </w:tblPr>
      <w:tblGrid>
        <w:gridCol w:w="429"/>
        <w:gridCol w:w="376"/>
        <w:gridCol w:w="379"/>
        <w:gridCol w:w="109"/>
        <w:gridCol w:w="109"/>
        <w:gridCol w:w="109"/>
        <w:gridCol w:w="255"/>
        <w:gridCol w:w="256"/>
        <w:gridCol w:w="624"/>
        <w:gridCol w:w="109"/>
        <w:gridCol w:w="109"/>
        <w:gridCol w:w="109"/>
        <w:gridCol w:w="391"/>
        <w:gridCol w:w="391"/>
        <w:gridCol w:w="1137"/>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Property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Exit Capitalization Rate</w:t>
            </w:r>
          </w:p>
        </w:tc>
      </w:tr>
      <w:tr>
        <w:trPr/>
        <w:tc>
          <w:tcPr>
            <w:tcW w:w="118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62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13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1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62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13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These assumptions are determined by our independent valuation advisor and reviewed by the Adviser. A change in these assumptions would impact the calculation of the value of our property investments. For example, assuming all other factors remain unchanged, the changes listed below would result in the following effects on our investment values:</w:t>
      </w:r>
    </w:p>
    <w:tbl>
      <w:tblPr>
        <w:tblW w:w="10205" w:type="dxa"/>
        <w:jc w:val="left"/>
        <w:tblInd w:w="0" w:type="dxa"/>
        <w:tblLayout w:type="fixed"/>
        <w:tblCellMar>
          <w:top w:w="28" w:type="dxa"/>
          <w:left w:w="28" w:type="dxa"/>
          <w:bottom w:w="28" w:type="dxa"/>
          <w:right w:w="28" w:type="dxa"/>
        </w:tblCellMar>
      </w:tblPr>
      <w:tblGrid>
        <w:gridCol w:w="717"/>
        <w:gridCol w:w="600"/>
        <w:gridCol w:w="573"/>
        <w:gridCol w:w="109"/>
        <w:gridCol w:w="109"/>
        <w:gridCol w:w="109"/>
        <w:gridCol w:w="497"/>
        <w:gridCol w:w="497"/>
        <w:gridCol w:w="499"/>
        <w:gridCol w:w="109"/>
        <w:gridCol w:w="109"/>
        <w:gridCol w:w="109"/>
        <w:gridCol w:w="657"/>
        <w:gridCol w:w="657"/>
        <w:gridCol w:w="658"/>
        <w:gridCol w:w="109"/>
        <w:gridCol w:w="109"/>
        <w:gridCol w:w="109"/>
        <w:gridCol w:w="614"/>
        <w:gridCol w:w="614"/>
        <w:gridCol w:w="616"/>
        <w:gridCol w:w="109"/>
        <w:gridCol w:w="109"/>
        <w:gridCol w:w="109"/>
        <w:gridCol w:w="495"/>
        <w:gridCol w:w="495"/>
        <w:gridCol w:w="708"/>
      </w:tblGrid>
      <w:tr>
        <w:trPr/>
        <w:tc>
          <w:tcPr>
            <w:tcW w:w="71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Input</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Hypothetical Change</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Multifamily Investment Values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Industrial Investment Values</w:t>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Retail Investment Values</w:t>
            </w:r>
          </w:p>
        </w:tc>
      </w:tr>
      <w:tr>
        <w:trPr/>
        <w:tc>
          <w:tcPr>
            <w:tcW w:w="189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(1.82)%</w:t>
            </w:r>
          </w:p>
        </w:tc>
      </w:tr>
      <w:tr>
        <w:trPr/>
        <w:tc>
          <w:tcPr>
            <w:tcW w:w="18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Exit Capitalization Rate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decrease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0.25%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r>
    </w:tbl>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Status of Our Current Public Offering</w:t>
      </w:r>
    </w:p>
    <w:p>
      <w:pPr>
        <w:pStyle w:val="TextBody"/>
        <w:bidi w:val="0"/>
        <w:spacing w:lineRule="auto" w:line="276" w:before="0" w:after="480"/>
        <w:jc w:val="left"/>
        <w:rPr>
          <w:rFonts w:ascii="Times New Roman;serif" w:hAnsi="Times New Roman;serif"/>
          <w:b w:val="false"/>
          <w:color w:val="000000"/>
          <w:sz w:val="20"/>
        </w:rPr>
      </w:pPr>
      <w:r>
        <w:rPr>
          <w:rFonts w:ascii="Times New Roman;serif" w:hAnsi="Times New Roman;serif"/>
          <w:b w:val="false"/>
          <w:color w:val="000000"/>
          <w:sz w:val="20"/>
        </w:rPr>
        <w:t>On February 4, 2026, we commenced our second public offering, pursuant to which we are currently offering on a continuous basis up to $4.8 billion in shares of our common stock, consisting of up to $3.8 billion in shares in our primary offering and up to $1.0 billion in shares pursuant to our distribution reinvestment plan. As of the date hereof, we have issued and sold 13,398 Class D, 8,738,831 Class I and 1,974 Class T shares in the primary offering for total proceeds of approximately $92.9 million. We have issued 16,557 Class D, 177,559 Class I and 6 Class T shares for a total value of approximately $2.1 million pursuant to our distribution reinvestment plan. As of the date hereof, we have not sold any Class S shares in this offering. We intend to continue selling shares in the public offering on a monthly basis.</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Updates to the Prospectus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The following disclosure is added to the “Experts” section of the Prospectus.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The estimated market values of our investments in real estate as of June 30, 2026 presented on page 2 of this Supplement under the section “June 30, 2026 NAV Per Share” have been prepared by SitusAMC Real Estate Valuation Services, LLC, an independent valuation firm, and are included in this Supplement given the authority of such firm as experts in property valuations and appraisals. SitusAMC Real Estate Valuation Services, LLC will not calculate or be responsible for our NAV per share for any class of our shares.</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1309</Words>
  <Characters>6597</Characters>
  <CharactersWithSpaces>7784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