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156210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J.P. Morgan Real Estate Income Trust, Inc.</w:t>
      </w:r>
    </w:p>
    <w:p>
      <w:pPr>
        <w:spacing w:after="0" w:line="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720" w:type="dxa"/>
        <w:tblCellMar>
          <w:top w:w="0" w:type="dxa"/>
          <w:left w:w="0" w:type="dxa"/>
          <w:bottom w:w="0" w:type="dxa"/>
          <w:right w:w="0" w:type="dxa"/>
        </w:tblCellMar>
      </w:tblPr>
      <w:tr>
        <w:trPr>
          <w:trHeight w:val="222"/>
        </w:trPr>
        <w:tc>
          <w:tcPr>
            <w:tcW w:w="320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3700" w:type="dxa"/>
            <w:vAlign w:val="bottom"/>
          </w:tcPr>
          <w:p>
            <w:pPr>
              <w:jc w:val="right"/>
              <w:ind w:right="1501"/>
              <w:spacing w:after="0"/>
              <w:rPr>
                <w:sz w:val="20"/>
                <w:szCs w:val="20"/>
                <w:color w:val="auto"/>
              </w:rPr>
            </w:pPr>
            <w:r>
              <w:rPr>
                <w:rFonts w:ascii="Times New Roman" w:cs="Times New Roman" w:eastAsia="Times New Roman" w:hAnsi="Times New Roman"/>
                <w:sz w:val="18"/>
                <w:szCs w:val="18"/>
                <w:b w:val="1"/>
                <w:bCs w:val="1"/>
                <w:color w:val="auto"/>
              </w:rPr>
              <w:t>333-288565</w:t>
            </w:r>
          </w:p>
        </w:tc>
        <w:tc>
          <w:tcPr>
            <w:tcW w:w="226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87-3439916</w:t>
            </w:r>
          </w:p>
        </w:tc>
      </w:tr>
      <w:tr>
        <w:trPr>
          <w:trHeight w:val="149"/>
        </w:trPr>
        <w:tc>
          <w:tcPr>
            <w:tcW w:w="3200" w:type="dxa"/>
            <w:vAlign w:val="bottom"/>
          </w:tcPr>
          <w:p>
            <w:pPr>
              <w:jc w:val="center"/>
              <w:ind w:right="8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70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6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00" w:type="dxa"/>
            <w:vAlign w:val="bottom"/>
          </w:tcPr>
          <w:p>
            <w:pPr>
              <w:jc w:val="center"/>
              <w:ind w:right="8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700" w:type="dxa"/>
            <w:vAlign w:val="bottom"/>
          </w:tcPr>
          <w:p>
            <w:pPr>
              <w:spacing w:after="0"/>
              <w:rPr>
                <w:sz w:val="15"/>
                <w:szCs w:val="15"/>
                <w:color w:val="auto"/>
              </w:rPr>
            </w:pPr>
          </w:p>
        </w:tc>
        <w:tc>
          <w:tcPr>
            <w:tcW w:w="2260" w:type="dxa"/>
            <w:vAlign w:val="bottom"/>
          </w:tcPr>
          <w:p>
            <w:pPr>
              <w:jc w:val="center"/>
              <w:ind w:left="112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29"/>
        </w:trPr>
        <w:tc>
          <w:tcPr>
            <w:tcW w:w="320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rPr>
              <w:t>390 Madison Avenue</w:t>
            </w:r>
          </w:p>
        </w:tc>
        <w:tc>
          <w:tcPr>
            <w:tcW w:w="37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2"/>
        </w:trPr>
        <w:tc>
          <w:tcPr>
            <w:tcW w:w="3200" w:type="dxa"/>
            <w:vAlign w:val="bottom"/>
          </w:tcPr>
          <w:p>
            <w:pPr>
              <w:jc w:val="center"/>
              <w:ind w:right="821"/>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700" w:type="dxa"/>
            <w:vAlign w:val="bottom"/>
          </w:tcPr>
          <w:p>
            <w:pPr>
              <w:spacing w:after="0"/>
              <w:rPr>
                <w:sz w:val="19"/>
                <w:szCs w:val="19"/>
                <w:color w:val="auto"/>
              </w:rPr>
            </w:pPr>
          </w:p>
        </w:tc>
        <w:tc>
          <w:tcPr>
            <w:tcW w:w="226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178"/>
        </w:trPr>
        <w:tc>
          <w:tcPr>
            <w:tcW w:w="3200" w:type="dxa"/>
            <w:vAlign w:val="bottom"/>
          </w:tcPr>
          <w:p>
            <w:pPr>
              <w:jc w:val="center"/>
              <w:ind w:right="8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700" w:type="dxa"/>
            <w:vAlign w:val="bottom"/>
          </w:tcPr>
          <w:p>
            <w:pPr>
              <w:spacing w:after="0"/>
              <w:rPr>
                <w:sz w:val="15"/>
                <w:szCs w:val="15"/>
                <w:color w:val="auto"/>
              </w:rPr>
            </w:pPr>
          </w:p>
        </w:tc>
        <w:tc>
          <w:tcPr>
            <w:tcW w:w="226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6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212) 270-6000</w:t>
      </w:r>
    </w:p>
    <w:p>
      <w:pPr>
        <w:spacing w:after="0" w:line="2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128270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5"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580" w:firstLine="21"/>
        <w:spacing w:after="0" w:line="418"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 None</w:t>
      </w:r>
    </w:p>
    <w:tbl>
      <w:tblPr>
        <w:tblLayout w:type="fixed"/>
        <w:tblInd w:w="1600" w:type="dxa"/>
        <w:tblCellMar>
          <w:top w:w="0" w:type="dxa"/>
          <w:left w:w="0" w:type="dxa"/>
          <w:bottom w:w="0" w:type="dxa"/>
          <w:right w:w="0" w:type="dxa"/>
        </w:tblCellMar>
      </w:tblPr>
      <w:tr>
        <w:trPr>
          <w:trHeight w:val="150"/>
        </w:trPr>
        <w:tc>
          <w:tcPr>
            <w:tcW w:w="2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40" w:type="dxa"/>
            <w:vAlign w:val="bottom"/>
          </w:tcPr>
          <w:p>
            <w:pPr>
              <w:jc w:val="center"/>
              <w:ind w:left="148"/>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60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0"/>
        </w:trPr>
        <w:tc>
          <w:tcPr>
            <w:tcW w:w="2220" w:type="dxa"/>
            <w:vAlign w:val="bottom"/>
            <w:vMerge w:val="continue"/>
          </w:tcPr>
          <w:p>
            <w:pPr>
              <w:spacing w:after="0"/>
              <w:rPr>
                <w:sz w:val="16"/>
                <w:szCs w:val="16"/>
                <w:color w:val="auto"/>
              </w:rPr>
            </w:pPr>
          </w:p>
        </w:tc>
        <w:tc>
          <w:tcPr>
            <w:tcW w:w="264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3"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105" w:right="4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April 30, 2026, J.P. Morgan Real Estate Income Trust, Inc. (the “Company”) declared distributions for each class of its common stock in the amount per share set forth below for record holders as of the date set forth above the table: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April 30, 2026 Record Date</w:t>
            </w: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Stockholder Servicing</w:t>
            </w:r>
          </w:p>
        </w:tc>
        <w:tc>
          <w:tcPr>
            <w:tcW w:w="140" w:type="dxa"/>
            <w:vAlign w:val="bottom"/>
          </w:tcPr>
          <w:p>
            <w:pPr>
              <w:spacing w:after="0"/>
              <w:rPr>
                <w:sz w:val="10"/>
                <w:szCs w:val="10"/>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Distribution</w:t>
            </w:r>
          </w:p>
        </w:tc>
        <w:tc>
          <w:tcPr>
            <w:tcW w:w="0" w:type="dxa"/>
            <w:vAlign w:val="bottom"/>
          </w:tcPr>
          <w:p>
            <w:pPr>
              <w:spacing w:after="0"/>
              <w:rPr>
                <w:sz w:val="1"/>
                <w:szCs w:val="1"/>
                <w:color w:val="auto"/>
              </w:rPr>
            </w:pPr>
          </w:p>
        </w:tc>
      </w:tr>
      <w:tr>
        <w:trPr>
          <w:trHeight w:val="109"/>
        </w:trPr>
        <w:tc>
          <w:tcPr>
            <w:tcW w:w="5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Gross Distribution</w:t>
            </w: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Fee</w:t>
            </w:r>
          </w:p>
        </w:tc>
        <w:tc>
          <w:tcPr>
            <w:tcW w:w="28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59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6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I Common Stock</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0.0423</w:t>
            </w:r>
          </w:p>
        </w:tc>
        <w:tc>
          <w:tcPr>
            <w:tcW w:w="6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0.0423</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D Common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0.0423</w:t>
            </w: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0.0423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E Common Stock</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0.0423</w:t>
            </w:r>
          </w:p>
        </w:tc>
        <w:tc>
          <w:tcPr>
            <w:tcW w:w="6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0.0423</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Y Common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0.0423</w:t>
            </w: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(0.0079)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0.0344</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of April 30, 2026, the Company had no outstanding shares of Class T, Class S or Class X common stock. The net distributions for each class of common stock (which represents the gross distributions less stockholder servicing fees for the applicable class of common stock) are payable to stockholders of record immediately following 5:00 p.m. Eastern Time on the record date set forth above. The stockholder servicing fee on the Company’s Class D common stock was waived for April 2026, and the net asset value attributable to current holders of Class D shares will not be included in the computation of stockholder servicing fees charged on Class D shares in perpetuity. There is no stockholder servicing fee with respect to Class I common stock or Class E common stock. These distributions will be paid on or about May 5, 2026 and will be paid in cash or reinvested in shares of the Company’s common stock for stockholders participating in the Company’s distribution reinvestment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J.P. Morgan Real Estate Income Trust, Inc.</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April 30, 2026</w:t>
            </w:r>
          </w:p>
        </w:tc>
        <w:tc>
          <w:tcPr>
            <w:tcW w:w="756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  /s/ Lawrence A. Goodfield, Jr.</w:t>
            </w:r>
          </w:p>
        </w:tc>
      </w:tr>
      <w:tr>
        <w:trPr>
          <w:trHeight w:val="191"/>
        </w:trPr>
        <w:tc>
          <w:tcPr>
            <w:tcW w:w="5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Lawrence A. Goodfield, Jr.</w:t>
            </w:r>
          </w:p>
        </w:tc>
      </w:tr>
      <w:tr>
        <w:trPr>
          <w:trHeight w:val="234"/>
        </w:trPr>
        <w:tc>
          <w:tcPr>
            <w:tcW w:w="5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979"/>
        </w:trPr>
        <w:tc>
          <w:tcPr>
            <w:tcW w:w="54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2026-04-30T09:36:06Z</dcterms:created>
  <dcterms:modified xsi:type="dcterms:W3CDTF">2026-04-30T09:36:06Z</dcterms:modified>
</cp:coreProperties>
</file>