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May 13, 2026.</w:t>
      </w:r>
    </w:p>
    <w:p>
      <w:pPr>
        <w:spacing w:after="0" w:line="32" w:lineRule="exact"/>
        <w:rPr>
          <w:sz w:val="24"/>
          <w:szCs w:val="24"/>
          <w:color w:val="auto"/>
        </w:rPr>
      </w:pPr>
    </w:p>
    <w:p>
      <w:pPr>
        <w:ind w:left="9240"/>
        <w:spacing w:after="0"/>
        <w:rPr>
          <w:sz w:val="20"/>
          <w:szCs w:val="20"/>
          <w:color w:val="auto"/>
        </w:rPr>
      </w:pPr>
      <w:r>
        <w:rPr>
          <w:rFonts w:ascii="Times New Roman" w:cs="Times New Roman" w:eastAsia="Times New Roman" w:hAnsi="Times New Roman"/>
          <w:sz w:val="16"/>
          <w:szCs w:val="16"/>
          <w:b w:val="1"/>
          <w:bCs w:val="1"/>
          <w:color w:val="auto"/>
        </w:rPr>
        <w:t>Registration No. 333-288565</w:t>
      </w:r>
    </w:p>
    <w:p>
      <w:pPr>
        <w:spacing w:after="0" w:line="11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3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Post-Effective Amendment No. 5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-195580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S-11</w:t>
      </w:r>
    </w:p>
    <w:p>
      <w:pPr>
        <w:spacing w:after="0" w:line="11"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b w:val="1"/>
          <w:bCs w:val="1"/>
          <w:i w:val="1"/>
          <w:iCs w:val="1"/>
          <w:color w:val="auto"/>
        </w:rPr>
        <w:t>FOR REGISTRATION UNDER THE SECURITIES ACT OF 1933</w:t>
      </w:r>
    </w:p>
    <w:p>
      <w:pPr>
        <w:spacing w:after="0" w:line="29"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8"/>
          <w:szCs w:val="18"/>
          <w:b w:val="1"/>
          <w:bCs w:val="1"/>
          <w:i w:val="1"/>
          <w:iCs w:val="1"/>
          <w:color w:val="auto"/>
        </w:rPr>
        <w:t>OF SECURITIES OF CERTAIN REAL ESTATE COMPANIES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74295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4"/>
          <w:szCs w:val="34"/>
          <w:b w:val="1"/>
          <w:bCs w:val="1"/>
          <w:color w:val="auto"/>
        </w:rPr>
        <w:t>J.P. Morgan Real Estate Income Trust, Inc.</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Governing Instruments)</w:t>
      </w:r>
    </w:p>
    <w:p>
      <w:pPr>
        <w:spacing w:after="0" w:line="1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390 Madison Avenue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-114935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New York, NY 10017</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(212) 270-6000</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(Address, Including Zip Code, and Telephone Number, Including Area Code, of Registrant’s Principal Executive Offices)</w:t>
      </w:r>
    </w:p>
    <w:p>
      <w:pPr>
        <w:spacing w:after="0" w:line="127"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6"/>
          <w:szCs w:val="16"/>
          <w:b w:val="1"/>
          <w:bCs w:val="1"/>
          <w:color w:val="auto"/>
        </w:rPr>
        <w:t>J.P. Morgan Investment Management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-114935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6"/>
          <w:szCs w:val="16"/>
          <w:b w:val="1"/>
          <w:bCs w:val="1"/>
          <w:color w:val="auto"/>
        </w:rPr>
        <w:t>Chad Tredway</w:t>
      </w:r>
    </w:p>
    <w:p>
      <w:pPr>
        <w:spacing w:after="0" w:line="19"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6"/>
          <w:szCs w:val="16"/>
          <w:b w:val="1"/>
          <w:bCs w:val="1"/>
          <w:color w:val="auto"/>
        </w:rPr>
        <w:t>270 Park Avenue</w:t>
      </w:r>
    </w:p>
    <w:p>
      <w:pPr>
        <w:spacing w:after="0" w:line="19"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6"/>
          <w:szCs w:val="16"/>
          <w:b w:val="1"/>
          <w:bCs w:val="1"/>
          <w:color w:val="auto"/>
        </w:rPr>
        <w:t>New York, NY 10017</w:t>
      </w:r>
    </w:p>
    <w:p>
      <w:pPr>
        <w:spacing w:after="0" w:line="19"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6"/>
          <w:szCs w:val="16"/>
          <w:b w:val="1"/>
          <w:bCs w:val="1"/>
          <w:color w:val="auto"/>
        </w:rPr>
        <w:t>(212) 270-6000</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Jason W. Goode</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Lindsey L. G. Magaro</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Alston &amp; Bird LLP</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1201 West Peachtree Street</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Atlanta, GA 30309-3424</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(404) 881-7000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101600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Approximate date of commencement of proposed sale to the public: </w:t>
      </w:r>
      <w:r>
        <w:rPr>
          <w:rFonts w:ascii="Times New Roman" w:cs="Times New Roman" w:eastAsia="Times New Roman" w:hAnsi="Times New Roman"/>
          <w:sz w:val="15"/>
          <w:szCs w:val="15"/>
          <w:color w:val="auto"/>
        </w:rPr>
        <w:t>As soon as practicable after this registration statement becomes effective.</w:t>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If any of the securities being registered on this form are to be offered on a delayed or continuous basis pursuant to Rule 415 under the Securities Act of 1933, check the following box.</w:t>
      </w:r>
    </w:p>
    <w:p>
      <w:pPr>
        <w:spacing w:after="0" w:line="13" w:lineRule="exact"/>
        <w:rPr>
          <w:sz w:val="24"/>
          <w:szCs w:val="24"/>
          <w:color w:val="auto"/>
        </w:rPr>
      </w:pPr>
    </w:p>
    <w:p>
      <w:pPr>
        <w:spacing w:after="0" w:line="151" w:lineRule="exact"/>
        <w:rPr>
          <w:sz w:val="20"/>
          <w:szCs w:val="20"/>
          <w:color w:val="auto"/>
        </w:rPr>
      </w:pPr>
      <w:r>
        <w:rPr>
          <w:rFonts w:ascii="MS PGothic" w:cs="MS PGothic" w:eastAsia="MS PGothic" w:hAnsi="MS PGothic"/>
          <w:sz w:val="15"/>
          <w:szCs w:val="15"/>
          <w:color w:val="auto"/>
        </w:rPr>
        <w:t>☒</w:t>
      </w:r>
    </w:p>
    <w:p>
      <w:pPr>
        <w:spacing w:after="0" w:line="110" w:lineRule="exact"/>
        <w:rPr>
          <w:sz w:val="24"/>
          <w:szCs w:val="24"/>
          <w:color w:val="auto"/>
        </w:rPr>
      </w:pPr>
    </w:p>
    <w:p>
      <w:pPr>
        <w:ind w:right="320"/>
        <w:spacing w:after="0" w:line="199" w:lineRule="exact"/>
        <w:rPr>
          <w:sz w:val="20"/>
          <w:szCs w:val="20"/>
          <w:color w:val="auto"/>
        </w:rPr>
      </w:pPr>
      <w:r>
        <w:rPr>
          <w:rFonts w:ascii="Times New Roman" w:cs="Times New Roman" w:eastAsia="Times New Roman" w:hAnsi="Times New Roman"/>
          <w:sz w:val="15"/>
          <w:szCs w:val="15"/>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35" w:lineRule="exact"/>
        <w:rPr>
          <w:sz w:val="24"/>
          <w:szCs w:val="24"/>
          <w:color w:val="auto"/>
        </w:rPr>
      </w:pPr>
    </w:p>
    <w:p>
      <w:pPr>
        <w:ind w:right="140"/>
        <w:spacing w:after="0" w:line="199" w:lineRule="exact"/>
        <w:rPr>
          <w:sz w:val="20"/>
          <w:szCs w:val="20"/>
          <w:color w:val="auto"/>
        </w:rPr>
      </w:pPr>
      <w:r>
        <w:rPr>
          <w:rFonts w:ascii="Times New Roman" w:cs="Times New Roman" w:eastAsia="Times New Roman" w:hAnsi="Times New Roman"/>
          <w:sz w:val="15"/>
          <w:szCs w:val="15"/>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49" w:lineRule="exact"/>
        <w:rPr>
          <w:sz w:val="24"/>
          <w:szCs w:val="24"/>
          <w:color w:val="auto"/>
        </w:rPr>
      </w:pPr>
    </w:p>
    <w:p>
      <w:pPr>
        <w:ind w:right="140"/>
        <w:spacing w:after="0" w:line="199" w:lineRule="exact"/>
        <w:rPr>
          <w:sz w:val="20"/>
          <w:szCs w:val="20"/>
          <w:color w:val="auto"/>
        </w:rPr>
      </w:pPr>
      <w:r>
        <w:rPr>
          <w:rFonts w:ascii="Times New Roman" w:cs="Times New Roman" w:eastAsia="Times New Roman" w:hAnsi="Times New Roman"/>
          <w:sz w:val="15"/>
          <w:szCs w:val="15"/>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333-288565</w:t>
      </w:r>
    </w:p>
    <w:p>
      <w:pPr>
        <w:spacing w:after="0" w:line="27"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If delivery of the prospectus is expected to be made pursuant to Rule 434, check the following box. </w:t>
      </w:r>
      <w:r>
        <w:rPr>
          <w:rFonts w:ascii="MS PGothic" w:cs="MS PGothic" w:eastAsia="MS PGothic" w:hAnsi="MS PGothic"/>
          <w:sz w:val="15"/>
          <w:szCs w:val="15"/>
          <w:color w:val="auto"/>
        </w:rPr>
        <w:t>☐</w:t>
      </w:r>
    </w:p>
    <w:p>
      <w:pPr>
        <w:spacing w:after="0" w:line="120"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232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200" w:type="dxa"/>
            <w:vAlign w:val="bottom"/>
          </w:tcPr>
          <w:p>
            <w:pPr>
              <w:ind w:left="920"/>
              <w:spacing w:after="0" w:line="151" w:lineRule="exact"/>
              <w:rPr>
                <w:sz w:val="20"/>
                <w:szCs w:val="20"/>
                <w:color w:val="auto"/>
              </w:rPr>
            </w:pPr>
            <w:r>
              <w:rPr>
                <w:rFonts w:ascii="MS PGothic" w:cs="MS PGothic" w:eastAsia="MS PGothic" w:hAnsi="MS PGothic"/>
                <w:sz w:val="15"/>
                <w:szCs w:val="15"/>
                <w:color w:val="auto"/>
              </w:rPr>
              <w:t>☐</w:t>
            </w:r>
          </w:p>
        </w:tc>
        <w:tc>
          <w:tcPr>
            <w:tcW w:w="4380" w:type="dxa"/>
            <w:vAlign w:val="bottom"/>
          </w:tcPr>
          <w:p>
            <w:pPr>
              <w:ind w:left="2120"/>
              <w:spacing w:after="0"/>
              <w:rPr>
                <w:sz w:val="20"/>
                <w:szCs w:val="20"/>
                <w:color w:val="auto"/>
              </w:rPr>
            </w:pPr>
            <w:r>
              <w:rPr>
                <w:rFonts w:ascii="Times New Roman" w:cs="Times New Roman" w:eastAsia="Times New Roman" w:hAnsi="Times New Roman"/>
                <w:sz w:val="15"/>
                <w:szCs w:val="15"/>
                <w:color w:val="auto"/>
              </w:rPr>
              <w:t>Accelerated filer</w:t>
            </w:r>
          </w:p>
        </w:tc>
        <w:tc>
          <w:tcPr>
            <w:tcW w:w="7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9"/>
        </w:trPr>
        <w:tc>
          <w:tcPr>
            <w:tcW w:w="232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200" w:type="dxa"/>
            <w:vAlign w:val="bottom"/>
          </w:tcPr>
          <w:p>
            <w:pPr>
              <w:ind w:left="920"/>
              <w:spacing w:after="0" w:line="151" w:lineRule="exact"/>
              <w:rPr>
                <w:sz w:val="20"/>
                <w:szCs w:val="20"/>
                <w:color w:val="auto"/>
              </w:rPr>
            </w:pPr>
            <w:r>
              <w:rPr>
                <w:rFonts w:ascii="MS PGothic" w:cs="MS PGothic" w:eastAsia="MS PGothic" w:hAnsi="MS PGothic"/>
                <w:sz w:val="15"/>
                <w:szCs w:val="15"/>
                <w:color w:val="auto"/>
              </w:rPr>
              <w:t>☒</w:t>
            </w:r>
          </w:p>
        </w:tc>
        <w:tc>
          <w:tcPr>
            <w:tcW w:w="4380" w:type="dxa"/>
            <w:vAlign w:val="bottom"/>
          </w:tcPr>
          <w:p>
            <w:pPr>
              <w:ind w:left="212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7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58"/>
        </w:trPr>
        <w:tc>
          <w:tcPr>
            <w:tcW w:w="232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4380" w:type="dxa"/>
            <w:vAlign w:val="bottom"/>
          </w:tcPr>
          <w:p>
            <w:pPr>
              <w:ind w:left="2120"/>
              <w:spacing w:after="0"/>
              <w:rPr>
                <w:sz w:val="20"/>
                <w:szCs w:val="20"/>
                <w:color w:val="auto"/>
              </w:rPr>
            </w:pPr>
            <w:r>
              <w:rPr>
                <w:rFonts w:ascii="Times New Roman" w:cs="Times New Roman" w:eastAsia="Times New Roman" w:hAnsi="Times New Roman"/>
                <w:sz w:val="15"/>
                <w:szCs w:val="15"/>
                <w:color w:val="auto"/>
              </w:rPr>
              <w:t>Emerging growth company</w:t>
            </w:r>
          </w:p>
        </w:tc>
        <w:tc>
          <w:tcPr>
            <w:tcW w:w="7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61" w:lineRule="exact"/>
        <w:rPr>
          <w:sz w:val="24"/>
          <w:szCs w:val="24"/>
          <w:color w:val="auto"/>
        </w:rPr>
      </w:pPr>
    </w:p>
    <w:p>
      <w:pPr>
        <w:spacing w:after="0" w:line="199"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1023620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8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EXPLANATORY NOTE</w:t>
      </w:r>
    </w:p>
    <w:p>
      <w:pPr>
        <w:spacing w:after="0" w:line="129"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This Post-Effective Amendment No. 5 to the Registration Statement on Form S-11 (No. 333-288565) is filed pursuant to Rule 462(d) under the Securities Act of 1933, as amended, solely to add exhibits not previously filed with respect to such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854710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440" w:right="579" w:bottom="1440" w:gutter="0" w:footer="0" w:header="0"/>
        </w:sectPr>
      </w:pPr>
    </w:p>
    <w:bookmarkStart w:id="2" w:name="page3"/>
    <w:bookmarkEnd w:id="2"/>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INFORMATION NOT REQUIRED IN PROSPECTUS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36. Financial Statements and Exhibits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(b) Exhibits.</w:t>
            </w:r>
          </w:p>
        </w:tc>
        <w:tc>
          <w:tcPr>
            <w:tcW w:w="2780" w:type="dxa"/>
            <w:vAlign w:val="bottom"/>
          </w:tcPr>
          <w:p>
            <w:pPr>
              <w:spacing w:after="0"/>
              <w:rPr>
                <w:sz w:val="17"/>
                <w:szCs w:val="17"/>
                <w:color w:val="auto"/>
              </w:rPr>
            </w:pPr>
          </w:p>
        </w:tc>
        <w:tc>
          <w:tcPr>
            <w:tcW w:w="7040" w:type="dxa"/>
            <w:vAlign w:val="bottom"/>
          </w:tcPr>
          <w:p>
            <w:pPr>
              <w:spacing w:after="0"/>
              <w:rPr>
                <w:sz w:val="17"/>
                <w:szCs w:val="17"/>
                <w:color w:val="auto"/>
              </w:rPr>
            </w:pPr>
          </w:p>
        </w:tc>
      </w:tr>
      <w:tr>
        <w:trPr>
          <w:trHeight w:val="176"/>
        </w:trPr>
        <w:tc>
          <w:tcPr>
            <w:tcW w:w="1420" w:type="dxa"/>
            <w:vAlign w:val="bottom"/>
          </w:tcPr>
          <w:p>
            <w:pPr>
              <w:jc w:val="right"/>
              <w:ind w:right="559"/>
              <w:spacing w:after="0" w:line="176" w:lineRule="exact"/>
              <w:rPr>
                <w:sz w:val="20"/>
                <w:szCs w:val="20"/>
                <w:color w:val="auto"/>
              </w:rPr>
            </w:pPr>
            <w:r>
              <w:rPr>
                <w:rFonts w:ascii="Times New Roman" w:cs="Times New Roman" w:eastAsia="Times New Roman" w:hAnsi="Times New Roman"/>
                <w:sz w:val="16"/>
                <w:szCs w:val="16"/>
                <w:color w:val="auto"/>
              </w:rPr>
              <w:t>23.1*</w:t>
            </w:r>
          </w:p>
        </w:tc>
        <w:tc>
          <w:tcPr>
            <w:tcW w:w="9820" w:type="dxa"/>
            <w:vAlign w:val="bottom"/>
            <w:gridSpan w:val="2"/>
          </w:tcPr>
          <w:p>
            <w:pPr>
              <w:spacing w:after="0" w:line="176" w:lineRule="exact"/>
              <w:rPr>
                <w:sz w:val="20"/>
                <w:szCs w:val="20"/>
                <w:color w:val="auto"/>
              </w:rPr>
            </w:pPr>
            <w:r>
              <w:rPr>
                <w:rFonts w:ascii="Times New Roman" w:cs="Times New Roman" w:eastAsia="Times New Roman" w:hAnsi="Times New Roman"/>
                <w:sz w:val="16"/>
                <w:szCs w:val="16"/>
                <w:color w:val="0000FF"/>
              </w:rPr>
              <w:t>Consent of Independent Valuation Advisor</w:t>
            </w:r>
          </w:p>
        </w:tc>
      </w:tr>
      <w:tr>
        <w:trPr>
          <w:trHeight w:val="325"/>
        </w:trPr>
        <w:tc>
          <w:tcPr>
            <w:tcW w:w="1420" w:type="dxa"/>
            <w:vAlign w:val="bottom"/>
          </w:tcPr>
          <w:p>
            <w:pPr>
              <w:spacing w:after="0"/>
              <w:rPr>
                <w:sz w:val="20"/>
                <w:szCs w:val="20"/>
                <w:color w:val="auto"/>
              </w:rPr>
            </w:pPr>
            <w:r>
              <w:rPr>
                <w:rFonts w:ascii="Times New Roman" w:cs="Times New Roman" w:eastAsia="Times New Roman" w:hAnsi="Times New Roman"/>
                <w:sz w:val="16"/>
                <w:szCs w:val="16"/>
                <w:color w:val="auto"/>
              </w:rPr>
              <w:t>* Filed herewith.</w:t>
            </w:r>
          </w:p>
        </w:tc>
        <w:tc>
          <w:tcPr>
            <w:tcW w:w="2780" w:type="dxa"/>
            <w:vAlign w:val="bottom"/>
            <w:tcBorders>
              <w:top w:val="single" w:sz="8" w:color="0000FF"/>
            </w:tcBorders>
          </w:tcPr>
          <w:p>
            <w:pPr>
              <w:spacing w:after="0"/>
              <w:rPr>
                <w:sz w:val="24"/>
                <w:szCs w:val="24"/>
                <w:color w:val="auto"/>
              </w:rPr>
            </w:pPr>
          </w:p>
        </w:tc>
        <w:tc>
          <w:tcPr>
            <w:tcW w:w="7040" w:type="dxa"/>
            <w:vAlign w:val="bottom"/>
          </w:tcPr>
          <w:p>
            <w:pPr>
              <w:spacing w:after="0"/>
              <w:rPr>
                <w:sz w:val="24"/>
                <w:szCs w:val="24"/>
                <w:color w:val="auto"/>
              </w:rPr>
            </w:pPr>
          </w:p>
        </w:tc>
      </w:tr>
      <w:tr>
        <w:trPr>
          <w:trHeight w:val="1525"/>
        </w:trPr>
        <w:tc>
          <w:tcPr>
            <w:tcW w:w="142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7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8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Pursuant to the requirements of the Securities Act of 1933, as amended, the Registrant certifies that it has reasonable grounds to believe that it meets all of the requirements for filing on Form S-11 and has duly caused this amended Registration Statement to be signed on its behalf by the undersigned, thereunto duly authorized, in the City of New York, in the State of New York, on May 13, 2026.</w:t>
      </w:r>
    </w:p>
    <w:p>
      <w:pPr>
        <w:spacing w:after="0" w:line="67"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6"/>
          <w:szCs w:val="16"/>
          <w:b w:val="1"/>
          <w:bCs w:val="1"/>
          <w:color w:val="auto"/>
        </w:rPr>
        <w:t>J.P. Morgan Real Estate Income Trust, Inc.</w:t>
      </w:r>
    </w:p>
    <w:p>
      <w:pPr>
        <w:spacing w:after="0" w:line="223" w:lineRule="exact"/>
        <w:rPr>
          <w:sz w:val="20"/>
          <w:szCs w:val="20"/>
          <w:color w:val="auto"/>
        </w:rPr>
      </w:pPr>
    </w:p>
    <w:p>
      <w:pPr>
        <w:ind w:left="5640"/>
        <w:spacing w:after="0"/>
        <w:tabs>
          <w:tab w:leader="none" w:pos="634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Lawrence A. Goodfield, Jr.</w:t>
      </w:r>
    </w:p>
    <w:p>
      <w:pPr>
        <w:spacing w:after="0" w:line="127"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6"/>
          <w:szCs w:val="16"/>
          <w:color w:val="auto"/>
        </w:rPr>
        <w:t>Lawrence A. Goodfield,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-116205</wp:posOffset>
            </wp:positionV>
            <wp:extent cx="31032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03245" cy="8890"/>
                    </a:xfrm>
                    <a:prstGeom prst="rect">
                      <a:avLst/>
                    </a:prstGeom>
                    <a:noFill/>
                  </pic:spPr>
                </pic:pic>
              </a:graphicData>
            </a:graphic>
          </wp:anchor>
        </w:drawing>
      </w:r>
    </w:p>
    <w:p>
      <w:pPr>
        <w:spacing w:after="0" w:line="6"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6"/>
          <w:szCs w:val="16"/>
          <w:color w:val="auto"/>
        </w:rPr>
        <w:t>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Act of 1933, as amended, this amended Registration Statement has been signed by the following persons in the capacities and on the dates as indicated.</w:t>
      </w:r>
    </w:p>
    <w:p>
      <w:pPr>
        <w:sectPr>
          <w:pgSz w:w="11900" w:h="16838" w:orient="portrait"/>
          <w:cols w:equalWidth="0" w:num="1">
            <w:col w:w="11140"/>
          </w:cols>
          <w:pgMar w:left="320" w:top="1440" w:right="439" w:bottom="1440" w:gutter="0" w:footer="0" w:header="0"/>
        </w:sectPr>
      </w:pP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8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33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Title</w:t>
            </w:r>
          </w:p>
        </w:tc>
      </w:tr>
      <w:tr>
        <w:trPr>
          <w:trHeight w:val="364"/>
        </w:trPr>
        <w:tc>
          <w:tcPr>
            <w:tcW w:w="68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Chad Tredway</w:t>
            </w:r>
          </w:p>
        </w:tc>
        <w:tc>
          <w:tcPr>
            <w:tcW w:w="3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Chairperson of the Board and Chief Executive</w:t>
            </w:r>
          </w:p>
        </w:tc>
      </w:tr>
      <w:tr>
        <w:trPr>
          <w:trHeight w:val="210"/>
        </w:trPr>
        <w:tc>
          <w:tcPr>
            <w:tcW w:w="680" w:type="dxa"/>
            <w:vAlign w:val="bottom"/>
          </w:tcPr>
          <w:p>
            <w:pPr>
              <w:spacing w:after="0"/>
              <w:rPr>
                <w:sz w:val="18"/>
                <w:szCs w:val="18"/>
                <w:color w:val="auto"/>
              </w:rPr>
            </w:pPr>
          </w:p>
        </w:tc>
        <w:tc>
          <w:tcPr>
            <w:tcW w:w="4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Chad Tredway</w:t>
            </w:r>
          </w:p>
        </w:tc>
        <w:tc>
          <w:tcPr>
            <w:tcW w:w="3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Officer (Principal Executive Officer)</w:t>
            </w:r>
          </w:p>
        </w:tc>
      </w:tr>
      <w:tr>
        <w:trPr>
          <w:trHeight w:val="378"/>
        </w:trPr>
        <w:tc>
          <w:tcPr>
            <w:tcW w:w="68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Lawrence A. Goodfield, Jr.</w:t>
            </w:r>
          </w:p>
        </w:tc>
        <w:tc>
          <w:tcPr>
            <w:tcW w:w="3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Chief Financial Officer and Treasurer (Principal</w:t>
            </w:r>
          </w:p>
        </w:tc>
      </w:tr>
      <w:tr>
        <w:trPr>
          <w:trHeight w:val="210"/>
        </w:trPr>
        <w:tc>
          <w:tcPr>
            <w:tcW w:w="680" w:type="dxa"/>
            <w:vAlign w:val="bottom"/>
          </w:tcPr>
          <w:p>
            <w:pPr>
              <w:spacing w:after="0"/>
              <w:rPr>
                <w:sz w:val="18"/>
                <w:szCs w:val="18"/>
                <w:color w:val="auto"/>
              </w:rPr>
            </w:pPr>
          </w:p>
        </w:tc>
        <w:tc>
          <w:tcPr>
            <w:tcW w:w="4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Lawrence A. Goodfield, Jr.</w:t>
            </w:r>
          </w:p>
        </w:tc>
        <w:tc>
          <w:tcPr>
            <w:tcW w:w="3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Financial Officer and Principal Accounting Officer)</w:t>
            </w:r>
          </w:p>
        </w:tc>
      </w:tr>
      <w:tr>
        <w:trPr>
          <w:trHeight w:val="367"/>
        </w:trPr>
        <w:tc>
          <w:tcPr>
            <w:tcW w:w="680" w:type="dxa"/>
            <w:vAlign w:val="bottom"/>
          </w:tcPr>
          <w:p>
            <w:pPr>
              <w:spacing w:after="0"/>
              <w:rPr>
                <w:sz w:val="24"/>
                <w:szCs w:val="24"/>
                <w:color w:val="auto"/>
              </w:rPr>
            </w:pPr>
          </w:p>
        </w:tc>
        <w:tc>
          <w:tcPr>
            <w:tcW w:w="4600" w:type="dxa"/>
            <w:vAlign w:val="bottom"/>
          </w:tcPr>
          <w:p>
            <w:pPr>
              <w:jc w:val="right"/>
              <w:ind w:right="2279"/>
              <w:spacing w:after="0"/>
              <w:rPr>
                <w:sz w:val="20"/>
                <w:szCs w:val="20"/>
                <w:color w:val="auto"/>
              </w:rPr>
            </w:pPr>
            <w:r>
              <w:rPr>
                <w:rFonts w:ascii="Times New Roman" w:cs="Times New Roman" w:eastAsia="Times New Roman" w:hAnsi="Times New Roman"/>
                <w:sz w:val="16"/>
                <w:szCs w:val="16"/>
                <w:color w:val="auto"/>
              </w:rPr>
              <w:t>*</w:t>
            </w:r>
          </w:p>
        </w:tc>
        <w:tc>
          <w:tcPr>
            <w:tcW w:w="3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Independent Director</w:t>
            </w:r>
          </w:p>
        </w:tc>
      </w:tr>
      <w:tr>
        <w:trPr>
          <w:trHeight w:val="207"/>
        </w:trPr>
        <w:tc>
          <w:tcPr>
            <w:tcW w:w="680" w:type="dxa"/>
            <w:vAlign w:val="bottom"/>
            <w:tcBorders>
              <w:top w:val="single" w:sz="8" w:color="auto"/>
            </w:tcBorders>
          </w:tcPr>
          <w:p>
            <w:pPr>
              <w:spacing w:after="0"/>
              <w:rPr>
                <w:sz w:val="17"/>
                <w:szCs w:val="17"/>
                <w:color w:val="auto"/>
              </w:rPr>
            </w:pPr>
          </w:p>
        </w:tc>
        <w:tc>
          <w:tcPr>
            <w:tcW w:w="4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Randy A. Daniels</w:t>
            </w:r>
          </w:p>
        </w:tc>
        <w:tc>
          <w:tcPr>
            <w:tcW w:w="20" w:type="dxa"/>
            <w:vAlign w:val="bottom"/>
            <w:tcBorders>
              <w:top w:val="single" w:sz="8" w:color="auto"/>
            </w:tcBorders>
          </w:tcPr>
          <w:p>
            <w:pPr>
              <w:spacing w:after="0"/>
              <w:rPr>
                <w:sz w:val="17"/>
                <w:szCs w:val="17"/>
                <w:color w:val="auto"/>
              </w:rPr>
            </w:pPr>
          </w:p>
        </w:tc>
        <w:tc>
          <w:tcPr>
            <w:tcW w:w="3360" w:type="dxa"/>
            <w:vAlign w:val="bottom"/>
          </w:tcPr>
          <w:p>
            <w:pPr>
              <w:spacing w:after="0"/>
              <w:rPr>
                <w:sz w:val="17"/>
                <w:szCs w:val="17"/>
                <w:color w:val="auto"/>
              </w:rPr>
            </w:pPr>
          </w:p>
        </w:tc>
      </w:tr>
      <w:tr>
        <w:trPr>
          <w:trHeight w:val="367"/>
        </w:trPr>
        <w:tc>
          <w:tcPr>
            <w:tcW w:w="680" w:type="dxa"/>
            <w:vAlign w:val="bottom"/>
          </w:tcPr>
          <w:p>
            <w:pPr>
              <w:spacing w:after="0"/>
              <w:rPr>
                <w:sz w:val="24"/>
                <w:szCs w:val="24"/>
                <w:color w:val="auto"/>
              </w:rPr>
            </w:pPr>
          </w:p>
        </w:tc>
        <w:tc>
          <w:tcPr>
            <w:tcW w:w="4600" w:type="dxa"/>
            <w:vAlign w:val="bottom"/>
          </w:tcPr>
          <w:p>
            <w:pPr>
              <w:jc w:val="right"/>
              <w:ind w:right="2279"/>
              <w:spacing w:after="0"/>
              <w:rPr>
                <w:sz w:val="20"/>
                <w:szCs w:val="20"/>
                <w:color w:val="auto"/>
              </w:rPr>
            </w:pPr>
            <w:r>
              <w:rPr>
                <w:rFonts w:ascii="Times New Roman" w:cs="Times New Roman" w:eastAsia="Times New Roman" w:hAnsi="Times New Roman"/>
                <w:sz w:val="16"/>
                <w:szCs w:val="16"/>
                <w:color w:val="auto"/>
              </w:rPr>
              <w:t>*</w:t>
            </w:r>
          </w:p>
        </w:tc>
        <w:tc>
          <w:tcPr>
            <w:tcW w:w="3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Independent Director</w:t>
            </w:r>
          </w:p>
        </w:tc>
      </w:tr>
      <w:tr>
        <w:trPr>
          <w:trHeight w:val="207"/>
        </w:trPr>
        <w:tc>
          <w:tcPr>
            <w:tcW w:w="680" w:type="dxa"/>
            <w:vAlign w:val="bottom"/>
            <w:tcBorders>
              <w:top w:val="single" w:sz="8" w:color="auto"/>
            </w:tcBorders>
          </w:tcPr>
          <w:p>
            <w:pPr>
              <w:spacing w:after="0"/>
              <w:rPr>
                <w:sz w:val="17"/>
                <w:szCs w:val="17"/>
                <w:color w:val="auto"/>
              </w:rPr>
            </w:pPr>
          </w:p>
        </w:tc>
        <w:tc>
          <w:tcPr>
            <w:tcW w:w="4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Justin M. Murphy</w:t>
            </w:r>
          </w:p>
        </w:tc>
        <w:tc>
          <w:tcPr>
            <w:tcW w:w="20" w:type="dxa"/>
            <w:vAlign w:val="bottom"/>
            <w:tcBorders>
              <w:top w:val="single" w:sz="8" w:color="auto"/>
            </w:tcBorders>
          </w:tcPr>
          <w:p>
            <w:pPr>
              <w:spacing w:after="0"/>
              <w:rPr>
                <w:sz w:val="17"/>
                <w:szCs w:val="17"/>
                <w:color w:val="auto"/>
              </w:rPr>
            </w:pPr>
          </w:p>
        </w:tc>
        <w:tc>
          <w:tcPr>
            <w:tcW w:w="3360" w:type="dxa"/>
            <w:vAlign w:val="bottom"/>
          </w:tcPr>
          <w:p>
            <w:pPr>
              <w:spacing w:after="0"/>
              <w:rPr>
                <w:sz w:val="17"/>
                <w:szCs w:val="17"/>
                <w:color w:val="auto"/>
              </w:rPr>
            </w:pPr>
          </w:p>
        </w:tc>
      </w:tr>
      <w:tr>
        <w:trPr>
          <w:trHeight w:val="381"/>
        </w:trPr>
        <w:tc>
          <w:tcPr>
            <w:tcW w:w="680" w:type="dxa"/>
            <w:vAlign w:val="bottom"/>
          </w:tcPr>
          <w:p>
            <w:pPr>
              <w:spacing w:after="0"/>
              <w:rPr>
                <w:sz w:val="24"/>
                <w:szCs w:val="24"/>
                <w:color w:val="auto"/>
              </w:rPr>
            </w:pPr>
          </w:p>
        </w:tc>
        <w:tc>
          <w:tcPr>
            <w:tcW w:w="4600" w:type="dxa"/>
            <w:vAlign w:val="bottom"/>
          </w:tcPr>
          <w:p>
            <w:pPr>
              <w:jc w:val="right"/>
              <w:ind w:right="2279"/>
              <w:spacing w:after="0"/>
              <w:rPr>
                <w:sz w:val="20"/>
                <w:szCs w:val="20"/>
                <w:color w:val="auto"/>
              </w:rPr>
            </w:pPr>
            <w:r>
              <w:rPr>
                <w:rFonts w:ascii="Times New Roman" w:cs="Times New Roman" w:eastAsia="Times New Roman" w:hAnsi="Times New Roman"/>
                <w:sz w:val="16"/>
                <w:szCs w:val="16"/>
                <w:color w:val="auto"/>
              </w:rPr>
              <w:t>*</w:t>
            </w:r>
          </w:p>
        </w:tc>
        <w:tc>
          <w:tcPr>
            <w:tcW w:w="3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Independent Director</w:t>
            </w:r>
          </w:p>
        </w:tc>
      </w:tr>
      <w:tr>
        <w:trPr>
          <w:trHeight w:val="207"/>
        </w:trPr>
        <w:tc>
          <w:tcPr>
            <w:tcW w:w="680" w:type="dxa"/>
            <w:vAlign w:val="bottom"/>
            <w:tcBorders>
              <w:top w:val="single" w:sz="8" w:color="auto"/>
            </w:tcBorders>
          </w:tcPr>
          <w:p>
            <w:pPr>
              <w:spacing w:after="0"/>
              <w:rPr>
                <w:sz w:val="17"/>
                <w:szCs w:val="17"/>
                <w:color w:val="auto"/>
              </w:rPr>
            </w:pPr>
          </w:p>
        </w:tc>
        <w:tc>
          <w:tcPr>
            <w:tcW w:w="4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Yvonne D. Nelson</w:t>
            </w:r>
          </w:p>
        </w:tc>
        <w:tc>
          <w:tcPr>
            <w:tcW w:w="20" w:type="dxa"/>
            <w:vAlign w:val="bottom"/>
            <w:tcBorders>
              <w:top w:val="single" w:sz="8" w:color="auto"/>
            </w:tcBorders>
          </w:tcPr>
          <w:p>
            <w:pPr>
              <w:spacing w:after="0"/>
              <w:rPr>
                <w:sz w:val="17"/>
                <w:szCs w:val="17"/>
                <w:color w:val="auto"/>
              </w:rPr>
            </w:pPr>
          </w:p>
        </w:tc>
        <w:tc>
          <w:tcPr>
            <w:tcW w:w="3360" w:type="dxa"/>
            <w:vAlign w:val="bottom"/>
          </w:tcPr>
          <w:p>
            <w:pPr>
              <w:spacing w:after="0"/>
              <w:rPr>
                <w:sz w:val="17"/>
                <w:szCs w:val="17"/>
                <w:color w:val="auto"/>
              </w:rPr>
            </w:pPr>
          </w:p>
        </w:tc>
      </w:tr>
      <w:tr>
        <w:trPr>
          <w:trHeight w:val="367"/>
        </w:trPr>
        <w:tc>
          <w:tcPr>
            <w:tcW w:w="680" w:type="dxa"/>
            <w:vAlign w:val="bottom"/>
          </w:tcPr>
          <w:p>
            <w:pPr>
              <w:spacing w:after="0"/>
              <w:rPr>
                <w:sz w:val="24"/>
                <w:szCs w:val="24"/>
                <w:color w:val="auto"/>
              </w:rPr>
            </w:pPr>
          </w:p>
        </w:tc>
        <w:tc>
          <w:tcPr>
            <w:tcW w:w="4600" w:type="dxa"/>
            <w:vAlign w:val="bottom"/>
          </w:tcPr>
          <w:p>
            <w:pPr>
              <w:jc w:val="right"/>
              <w:ind w:right="2279"/>
              <w:spacing w:after="0"/>
              <w:rPr>
                <w:sz w:val="20"/>
                <w:szCs w:val="20"/>
                <w:color w:val="auto"/>
              </w:rPr>
            </w:pPr>
            <w:r>
              <w:rPr>
                <w:rFonts w:ascii="Times New Roman" w:cs="Times New Roman" w:eastAsia="Times New Roman" w:hAnsi="Times New Roman"/>
                <w:sz w:val="16"/>
                <w:szCs w:val="16"/>
                <w:color w:val="auto"/>
              </w:rPr>
              <w:t>*</w:t>
            </w:r>
          </w:p>
        </w:tc>
        <w:tc>
          <w:tcPr>
            <w:tcW w:w="3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Independent Director</w:t>
            </w:r>
          </w:p>
        </w:tc>
      </w:tr>
      <w:tr>
        <w:trPr>
          <w:trHeight w:val="207"/>
        </w:trPr>
        <w:tc>
          <w:tcPr>
            <w:tcW w:w="680" w:type="dxa"/>
            <w:vAlign w:val="bottom"/>
            <w:tcBorders>
              <w:top w:val="single" w:sz="8" w:color="auto"/>
            </w:tcBorders>
          </w:tcPr>
          <w:p>
            <w:pPr>
              <w:spacing w:after="0"/>
              <w:rPr>
                <w:sz w:val="17"/>
                <w:szCs w:val="17"/>
                <w:color w:val="auto"/>
              </w:rPr>
            </w:pPr>
          </w:p>
        </w:tc>
        <w:tc>
          <w:tcPr>
            <w:tcW w:w="4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William L. Ramseyer</w:t>
            </w:r>
          </w:p>
        </w:tc>
        <w:tc>
          <w:tcPr>
            <w:tcW w:w="20" w:type="dxa"/>
            <w:vAlign w:val="bottom"/>
            <w:tcBorders>
              <w:top w:val="single" w:sz="8" w:color="auto"/>
            </w:tcBorders>
          </w:tcPr>
          <w:p>
            <w:pPr>
              <w:spacing w:after="0"/>
              <w:rPr>
                <w:sz w:val="17"/>
                <w:szCs w:val="17"/>
                <w:color w:val="auto"/>
              </w:rPr>
            </w:pPr>
          </w:p>
        </w:tc>
        <w:tc>
          <w:tcPr>
            <w:tcW w:w="3360" w:type="dxa"/>
            <w:vAlign w:val="bottom"/>
          </w:tcPr>
          <w:p>
            <w:pPr>
              <w:spacing w:after="0"/>
              <w:rPr>
                <w:sz w:val="17"/>
                <w:szCs w:val="17"/>
                <w:color w:val="auto"/>
              </w:rPr>
            </w:pPr>
          </w:p>
        </w:tc>
      </w:tr>
      <w:tr>
        <w:trPr>
          <w:trHeight w:val="394"/>
        </w:trPr>
        <w:tc>
          <w:tcPr>
            <w:tcW w:w="6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/s/ Lawrence A. Goodfield, Jr.</w:t>
            </w:r>
          </w:p>
        </w:tc>
        <w:tc>
          <w:tcPr>
            <w:tcW w:w="3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Attorney-in-Fact</w:t>
            </w:r>
          </w:p>
        </w:tc>
      </w:tr>
      <w:tr>
        <w:trPr>
          <w:trHeight w:val="207"/>
        </w:trPr>
        <w:tc>
          <w:tcPr>
            <w:tcW w:w="680" w:type="dxa"/>
            <w:vAlign w:val="bottom"/>
          </w:tcPr>
          <w:p>
            <w:pPr>
              <w:spacing w:after="0"/>
              <w:rPr>
                <w:sz w:val="17"/>
                <w:szCs w:val="17"/>
                <w:color w:val="auto"/>
              </w:rPr>
            </w:pPr>
          </w:p>
        </w:tc>
        <w:tc>
          <w:tcPr>
            <w:tcW w:w="4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Lawrence A. Goodfield, Jr.</w:t>
            </w:r>
          </w:p>
        </w:tc>
        <w:tc>
          <w:tcPr>
            <w:tcW w:w="20" w:type="dxa"/>
            <w:vAlign w:val="bottom"/>
            <w:tcBorders>
              <w:top w:val="single" w:sz="8" w:color="auto"/>
            </w:tcBorders>
          </w:tcPr>
          <w:p>
            <w:pPr>
              <w:spacing w:after="0"/>
              <w:rPr>
                <w:sz w:val="17"/>
                <w:szCs w:val="17"/>
                <w:color w:val="auto"/>
              </w:rPr>
            </w:pPr>
          </w:p>
        </w:tc>
        <w:tc>
          <w:tcPr>
            <w:tcW w:w="33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Date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May 13, 2026</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May 13, 2026</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May 13, 2026</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May 13, 2026</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May 13, 2026</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May 13, 2026</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May 13, 2026</w:t>
      </w:r>
    </w:p>
    <w:p>
      <w:pPr>
        <w:sectPr>
          <w:pgSz w:w="11900" w:h="16838" w:orient="portrait"/>
          <w:cols w:equalWidth="0" w:num="2">
            <w:col w:w="9180" w:space="720"/>
            <w:col w:w="1240"/>
          </w:cols>
          <w:pgMar w:left="320" w:top="1440" w:right="439" w:bottom="1440" w:gutter="0" w:footer="0" w:header="0"/>
          <w:type w:val="continuous"/>
        </w:sectPr>
      </w:pPr>
    </w:p>
    <w:bookmarkStart w:id="4" w:name="page5"/>
    <w:bookmarkEnd w:id="4"/>
    <w:p>
      <w:pPr>
        <w:spacing w:after="0" w:line="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Exhibit 23.1</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CONSENT OF INDEPENDENT VALUATION ADVISOR</w:t>
      </w:r>
    </w:p>
    <w:p>
      <w:pPr>
        <w:spacing w:after="0" w:line="129"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6"/>
          <w:szCs w:val="16"/>
          <w:color w:val="auto"/>
        </w:rPr>
        <w:t>We hereby consent to (1) the reference to our name (including under the heading “Experts”) and the description of our role in the valuation process of any properties of J.P. Morgan Real Estate Income Trust, Inc. (the “Company”) in the Company’s Registration Statement on Form S-11, the prospectus included therein (the “Prospectus”) and in any future amendments or supplements thereto, under the headings “Net Asset Value Calculation and Valuation Guidelines – Independent Valuation Advisor” and “Net Asset Value Calculation and Valuation Guidelines – Valuation of Properties”, and (2) the disclosure on page 4 of Supplement No. 1 to the Prospectus and in any future amendments or supplements thereto that the amount presented in the line item “Investments in real estate” represents the sum of the estimated values of the Company’s properties we have provided to the Company, as of the date presented.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/s/ SitusAMC Real Estate Valuation Services, LLC</w:t>
      </w:r>
    </w:p>
    <w:p>
      <w:pPr>
        <w:spacing w:after="0" w:line="4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SitusAMC Real Estate Valuation Services,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-116205</wp:posOffset>
            </wp:positionV>
            <wp:extent cx="28460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West Des Moines, Iowa</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May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1130935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2026-05-13T15:00:00Z</dcterms:created>
  <dcterms:modified xsi:type="dcterms:W3CDTF">2026-05-13T15:00:00Z</dcterms:modified>
</cp:coreProperties>
</file>