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October 14, 2026.</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333-288565</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Post-Effective Amendment No. 10 to</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S-11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FOR REGISTRATION UNDER THE SECURITIES ACT OF 1933</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OF SECURITIES OF CERTAIN REAL ESTATE COMPANIES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8"/>
        </w:rPr>
      </w:pPr>
      <w:r>
        <w:rPr>
          <w:rFonts w:ascii="Times New Roman;serif" w:hAnsi="Times New Roman;serif"/>
          <w:b/>
          <w:color w:val="000000"/>
          <w:sz w:val="38"/>
        </w:rPr>
        <w:t>J.P. Morgan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Governing Instruments)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390 Madison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J.P. Morgan Investment Management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Chad Tredway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 Park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With copies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Jason W. Goode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Lindsey L. G. Magaro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Alston &amp; Bird LLP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1201 West Peachtree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Atlanta, GA 30309-3424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(404) 881-7000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Times New Roman;serif" w:hAnsi="Times New Roman;serif"/>
          <w:b/>
          <w:color w:val="000000"/>
          <w:sz w:val="17"/>
        </w:rPr>
        <w:t xml:space="preserve">Approximate date of commencement of proposed sale to the public: </w:t>
      </w:r>
      <w:r>
        <w:rPr>
          <w:rFonts w:ascii="Times New Roman;serif" w:hAnsi="Times New Roman;serif"/>
          <w:b w:val="false"/>
          <w:color w:val="000000"/>
          <w:sz w:val="17"/>
        </w:rPr>
        <w:t>As soon as practicable after this registration statement becomes effective.</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any of the securities being registered on this form are to be offered on a delayed or continuous basis pursuant to Rule 415 under the Securities Act of 1933,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462(d) under the Securities Act, check the following box and list the Securities Act registration statement number of the earlier effective registration statement for the same offering. ☒ 333-288565</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delivery of the prospectus is expected to be made pursuant to Rule 434,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60"/>
        <w:jc w:val="both"/>
        <w:rPr>
          <w:rFonts w:ascii="Times New Roman;serif" w:hAnsi="Times New Roman;serif"/>
          <w:b w:val="false"/>
          <w:color w:val="000000"/>
          <w:sz w:val="17"/>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0" w:after="400"/>
        <w:jc w:val="left"/>
        <w:rPr>
          <w:rFonts w:ascii="Times New Roman;serif" w:hAnsi="Times New Roman;serif"/>
          <w:b w:val="false"/>
          <w:color w:val="000000"/>
          <w:sz w:val="18"/>
        </w:rPr>
      </w:pPr>
      <w:r>
        <w:rPr>
          <w:rFonts w:ascii="Times New Roman;serif" w:hAnsi="Times New Roman;serif"/>
          <w:b w:val="false"/>
          <w:color w:val="000000"/>
          <w:sz w:val="18"/>
        </w:rPr>
        <w:t>This Post-Effective Amendment No. 10 to the Registration Statement on Form S-11 (No. 333-288565) is filed pursuant to Rule 462(d) under the Securities Act of 1933, as amended, solely to add exhibits not previously filed with respect to such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INFORMATION NOT REQUIRED IN PROSPECTUS</w:t>
      </w:r>
    </w:p>
    <w:p>
      <w:pPr>
        <w:pStyle w:val="TextBody"/>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Item 36. Financial Statements and Exhibits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 Exhibits.</w:t>
      </w:r>
    </w:p>
    <w:tbl>
      <w:tblPr>
        <w:tblW w:w="4228" w:type="dxa"/>
        <w:jc w:val="left"/>
        <w:tblInd w:w="0" w:type="dxa"/>
        <w:tblLayout w:type="fixed"/>
        <w:tblCellMar>
          <w:top w:w="28" w:type="dxa"/>
          <w:left w:w="28" w:type="dxa"/>
          <w:bottom w:w="28" w:type="dxa"/>
          <w:right w:w="28" w:type="dxa"/>
        </w:tblCellMar>
      </w:tblPr>
      <w:tblGrid>
        <w:gridCol w:w="211"/>
        <w:gridCol w:w="186"/>
        <w:gridCol w:w="187"/>
        <w:gridCol w:w="1067"/>
        <w:gridCol w:w="1067"/>
        <w:gridCol w:w="151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jpmreit-20261014xex231.htm">
              <w:r>
                <w:rPr>
                  <w:rStyle w:val="InternetLink"/>
                  <w:rFonts w:ascii="Times New Roman;serif" w:hAnsi="Times New Roman;serif"/>
                  <w:b w:val="false"/>
                  <w:color w:val="0000FF"/>
                  <w:sz w:val="20"/>
                  <w:u w:val="single"/>
                </w:rPr>
                <w:t>Consent of Independent Valuation Advisor</w:t>
              </w:r>
            </w:hyperlink>
          </w:p>
        </w:tc>
      </w:tr>
    </w:tbl>
    <w:p>
      <w:pPr>
        <w:pStyle w:val="TextBody"/>
        <w:bidi w:val="0"/>
        <w:spacing w:lineRule="auto" w:line="288" w:before="120" w:after="52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the Registrant certifies that it has reasonable grounds to believe that it meets all of the requirements for filing on Form S-11 and has duly caused this amended Registration Statement to be signed on its behalf by the undersigned, thereunto duly authorized, in the City of New York, in the State of New York, on October 14,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10"/>
        <w:gridCol w:w="1110"/>
        <w:gridCol w:w="15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this amended Registration Statement has been signed by the following persons in the capacities and on the dates as indicated.</w:t>
      </w:r>
    </w:p>
    <w:tbl>
      <w:tblPr>
        <w:tblW w:w="7887" w:type="dxa"/>
        <w:jc w:val="left"/>
        <w:tblInd w:w="0" w:type="dxa"/>
        <w:tblLayout w:type="fixed"/>
        <w:tblCellMar>
          <w:top w:w="28" w:type="dxa"/>
          <w:left w:w="28" w:type="dxa"/>
          <w:bottom w:w="28" w:type="dxa"/>
          <w:right w:w="28" w:type="dxa"/>
        </w:tblCellMar>
      </w:tblPr>
      <w:tblGrid>
        <w:gridCol w:w="168"/>
        <w:gridCol w:w="148"/>
        <w:gridCol w:w="149"/>
        <w:gridCol w:w="750"/>
        <w:gridCol w:w="750"/>
        <w:gridCol w:w="764"/>
        <w:gridCol w:w="1249"/>
        <w:gridCol w:w="1249"/>
        <w:gridCol w:w="1266"/>
        <w:gridCol w:w="405"/>
        <w:gridCol w:w="405"/>
        <w:gridCol w:w="58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Date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Chad Tredway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Chairperson of the Board and Chief Executive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Chad Tredway</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Officer (Principal Executive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 (Principal</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Officer and Principal Accounting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Randy A. Daniels</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Justin M. Murphy</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Yvonne D. Nelson</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William L. Ramseyer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Attorney-in-Fact</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120"/>
        <w:jc w:val="right"/>
        <w:rPr>
          <w:rFonts w:ascii="Times New Roman;serif" w:hAnsi="Times New Roman;serif"/>
          <w:b/>
          <w:color w:val="000000"/>
          <w:sz w:val="18"/>
        </w:rPr>
      </w:pPr>
      <w:r>
        <w:rPr>
          <w:rFonts w:ascii="Times New Roman;serif" w:hAnsi="Times New Roman;serif"/>
          <w:b/>
          <w:color w:val="000000"/>
          <w:sz w:val="18"/>
        </w:rPr>
        <w:t>Exhibit 23.1</w:t>
      </w:r>
    </w:p>
    <w:p>
      <w:pPr>
        <w:pStyle w:val="TextBody"/>
        <w:bidi w:val="0"/>
        <w:spacing w:lineRule="auto" w:line="276" w:before="0" w:after="120"/>
        <w:jc w:val="center"/>
        <w:rPr>
          <w:rFonts w:ascii="Times New Roman;serif" w:hAnsi="Times New Roman;serif"/>
          <w:b/>
          <w:color w:val="000000"/>
          <w:sz w:val="18"/>
        </w:rPr>
      </w:pPr>
      <w:r>
        <w:rPr>
          <w:rFonts w:ascii="Times New Roman;serif" w:hAnsi="Times New Roman;serif"/>
          <w:b/>
          <w:color w:val="000000"/>
          <w:sz w:val="18"/>
        </w:rPr>
        <w:t>CONSENT OF INDEPENDENT VALUATION ADVISOR</w:t>
      </w:r>
    </w:p>
    <w:p>
      <w:pPr>
        <w:pStyle w:val="TextBody"/>
        <w:bidi w:val="0"/>
        <w:spacing w:lineRule="auto" w:line="276" w:before="0" w:after="320"/>
        <w:jc w:val="left"/>
        <w:rPr>
          <w:rFonts w:ascii="Times New Roman;serif" w:hAnsi="Times New Roman;serif"/>
          <w:b w:val="false"/>
          <w:color w:val="000000"/>
          <w:sz w:val="18"/>
        </w:rPr>
      </w:pPr>
      <w:r>
        <w:rPr>
          <w:rFonts w:ascii="Times New Roman;serif" w:hAnsi="Times New Roman;serif"/>
          <w:b w:val="false"/>
          <w:color w:val="000000"/>
          <w:sz w:val="18"/>
        </w:rPr>
        <w:t>We hereby consent to (1) the reference to our name (including under the heading “Experts”) and the description of our role in the valuation process of any properties of J.P. Morgan Real Estate Income Trust, Inc. (the “Company”) in the Company’s Registration Statement on Form S-11, the prospectus included therein (the “Prospectus”) and in any future amendments or supplements thereto, under the headings “Net Asset Value Calculation and Valuation Guidelines – Independent Valuation Advisor” and “Net Asset Value Calculation and Valuation Guidelines – Valuation of Properties”, and (2) the disclosure on page 3 of Supplement No. 8 to the Prospectus and in any future amendments or supplements thereto that the amount presented in the line item “Investments in real estate” represents the sum of the estimated values of the Company’s properties we have provided to the Company, as of the date presented.</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1"/>
        <w:gridCol w:w="1101"/>
        <w:gridCol w:w="1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 Des Moines, Iowa</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14,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901</Words>
  <Characters>4937</Characters>
  <CharactersWithSpaces>5737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