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124460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156210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J.P. Morgan Real Estate Income Trust, Inc.</w:t>
      </w:r>
    </w:p>
    <w:p>
      <w:pPr>
        <w:spacing w:after="0" w:line="5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tbl>
      <w:tblPr>
        <w:tblLayout w:type="fixed"/>
        <w:tblInd w:w="720" w:type="dxa"/>
        <w:tblCellMar>
          <w:top w:w="0" w:type="dxa"/>
          <w:left w:w="0" w:type="dxa"/>
          <w:bottom w:w="0" w:type="dxa"/>
          <w:right w:w="0" w:type="dxa"/>
        </w:tblCellMar>
      </w:tblPr>
      <w:tr>
        <w:trPr>
          <w:trHeight w:val="222"/>
        </w:trPr>
        <w:tc>
          <w:tcPr>
            <w:tcW w:w="3200" w:type="dxa"/>
            <w:vAlign w:val="bottom"/>
          </w:tcPr>
          <w:p>
            <w:pPr>
              <w:jc w:val="center"/>
              <w:ind w:right="821"/>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3700" w:type="dxa"/>
            <w:vAlign w:val="bottom"/>
          </w:tcPr>
          <w:p>
            <w:pPr>
              <w:jc w:val="right"/>
              <w:ind w:right="1501"/>
              <w:spacing w:after="0"/>
              <w:rPr>
                <w:sz w:val="20"/>
                <w:szCs w:val="20"/>
                <w:color w:val="auto"/>
              </w:rPr>
            </w:pPr>
            <w:r>
              <w:rPr>
                <w:rFonts w:ascii="Times New Roman" w:cs="Times New Roman" w:eastAsia="Times New Roman" w:hAnsi="Times New Roman"/>
                <w:sz w:val="18"/>
                <w:szCs w:val="18"/>
                <w:b w:val="1"/>
                <w:bCs w:val="1"/>
                <w:color w:val="auto"/>
              </w:rPr>
              <w:t>333-288565</w:t>
            </w:r>
          </w:p>
        </w:tc>
        <w:tc>
          <w:tcPr>
            <w:tcW w:w="226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87-3439916</w:t>
            </w:r>
          </w:p>
        </w:tc>
      </w:tr>
      <w:tr>
        <w:trPr>
          <w:trHeight w:val="149"/>
        </w:trPr>
        <w:tc>
          <w:tcPr>
            <w:tcW w:w="3200" w:type="dxa"/>
            <w:vAlign w:val="bottom"/>
          </w:tcPr>
          <w:p>
            <w:pPr>
              <w:jc w:val="center"/>
              <w:ind w:right="8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70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6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200" w:type="dxa"/>
            <w:vAlign w:val="bottom"/>
          </w:tcPr>
          <w:p>
            <w:pPr>
              <w:jc w:val="center"/>
              <w:ind w:right="8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700" w:type="dxa"/>
            <w:vAlign w:val="bottom"/>
          </w:tcPr>
          <w:p>
            <w:pPr>
              <w:spacing w:after="0"/>
              <w:rPr>
                <w:sz w:val="15"/>
                <w:szCs w:val="15"/>
                <w:color w:val="auto"/>
              </w:rPr>
            </w:pPr>
          </w:p>
        </w:tc>
        <w:tc>
          <w:tcPr>
            <w:tcW w:w="2260" w:type="dxa"/>
            <w:vAlign w:val="bottom"/>
          </w:tcPr>
          <w:p>
            <w:pPr>
              <w:jc w:val="center"/>
              <w:ind w:left="112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29"/>
        </w:trPr>
        <w:tc>
          <w:tcPr>
            <w:tcW w:w="3200" w:type="dxa"/>
            <w:vAlign w:val="bottom"/>
          </w:tcPr>
          <w:p>
            <w:pPr>
              <w:jc w:val="center"/>
              <w:ind w:right="821"/>
              <w:spacing w:after="0"/>
              <w:rPr>
                <w:sz w:val="20"/>
                <w:szCs w:val="20"/>
                <w:color w:val="auto"/>
              </w:rPr>
            </w:pPr>
            <w:r>
              <w:rPr>
                <w:rFonts w:ascii="Times New Roman" w:cs="Times New Roman" w:eastAsia="Times New Roman" w:hAnsi="Times New Roman"/>
                <w:sz w:val="18"/>
                <w:szCs w:val="18"/>
                <w:b w:val="1"/>
                <w:bCs w:val="1"/>
                <w:color w:val="auto"/>
              </w:rPr>
              <w:t>390 Madison Avenue</w:t>
            </w:r>
          </w:p>
        </w:tc>
        <w:tc>
          <w:tcPr>
            <w:tcW w:w="37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22"/>
        </w:trPr>
        <w:tc>
          <w:tcPr>
            <w:tcW w:w="3200" w:type="dxa"/>
            <w:vAlign w:val="bottom"/>
          </w:tcPr>
          <w:p>
            <w:pPr>
              <w:jc w:val="center"/>
              <w:ind w:right="821"/>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3700" w:type="dxa"/>
            <w:vAlign w:val="bottom"/>
          </w:tcPr>
          <w:p>
            <w:pPr>
              <w:spacing w:after="0"/>
              <w:rPr>
                <w:sz w:val="19"/>
                <w:szCs w:val="19"/>
                <w:color w:val="auto"/>
              </w:rPr>
            </w:pPr>
          </w:p>
        </w:tc>
        <w:tc>
          <w:tcPr>
            <w:tcW w:w="226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178"/>
        </w:trPr>
        <w:tc>
          <w:tcPr>
            <w:tcW w:w="3200" w:type="dxa"/>
            <w:vAlign w:val="bottom"/>
          </w:tcPr>
          <w:p>
            <w:pPr>
              <w:jc w:val="center"/>
              <w:ind w:right="8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700" w:type="dxa"/>
            <w:vAlign w:val="bottom"/>
          </w:tcPr>
          <w:p>
            <w:pPr>
              <w:spacing w:after="0"/>
              <w:rPr>
                <w:sz w:val="15"/>
                <w:szCs w:val="15"/>
                <w:color w:val="auto"/>
              </w:rPr>
            </w:pPr>
          </w:p>
        </w:tc>
        <w:tc>
          <w:tcPr>
            <w:tcW w:w="226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6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212) 270-6000</w:t>
      </w:r>
    </w:p>
    <w:p>
      <w:pPr>
        <w:spacing w:after="0" w:line="21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196850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580" w:firstLine="21"/>
        <w:spacing w:after="0" w:line="418" w:lineRule="auto"/>
        <w:tabs>
          <w:tab w:leader="none" w:pos="4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 None</w:t>
      </w:r>
    </w:p>
    <w:tbl>
      <w:tblPr>
        <w:tblLayout w:type="fixed"/>
        <w:tblInd w:w="1600" w:type="dxa"/>
        <w:tblCellMar>
          <w:top w:w="0" w:type="dxa"/>
          <w:left w:w="0" w:type="dxa"/>
          <w:bottom w:w="0" w:type="dxa"/>
          <w:right w:w="0" w:type="dxa"/>
        </w:tblCellMar>
      </w:tblPr>
      <w:tr>
        <w:trPr>
          <w:trHeight w:val="150"/>
        </w:trPr>
        <w:tc>
          <w:tcPr>
            <w:tcW w:w="2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40" w:type="dxa"/>
            <w:vAlign w:val="bottom"/>
          </w:tcPr>
          <w:p>
            <w:pPr>
              <w:jc w:val="center"/>
              <w:ind w:left="148"/>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60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0"/>
        </w:trPr>
        <w:tc>
          <w:tcPr>
            <w:tcW w:w="2220" w:type="dxa"/>
            <w:vAlign w:val="bottom"/>
            <w:vMerge w:val="continue"/>
          </w:tcPr>
          <w:p>
            <w:pPr>
              <w:spacing w:after="0"/>
              <w:rPr>
                <w:sz w:val="16"/>
                <w:szCs w:val="16"/>
                <w:color w:val="auto"/>
              </w:rPr>
            </w:pPr>
          </w:p>
        </w:tc>
        <w:tc>
          <w:tcPr>
            <w:tcW w:w="264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3"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4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105" w:right="4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On May 26, 2026, J.P. Morgan Real Estate Income Trust, Inc. mailed or delivered to its stockholders the proxy statement for its annual meeting of stockholders to be held on August 7, 2026 (the “Proxy Statement”). The Proxy Statement is furnished as Exhibit 99.1 to this Current Report on Form 8-K.</w:t>
      </w:r>
    </w:p>
    <w:p>
      <w:pPr>
        <w:spacing w:after="0" w:line="3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is furnished pursuant to Item 7.01 and shall not be deemed to be “filed” for the purpose of Section 18 of the Securities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20" w:type="dxa"/>
            <w:vAlign w:val="bottom"/>
          </w:tcPr>
          <w:p>
            <w:pPr>
              <w:spacing w:after="0"/>
              <w:rPr>
                <w:sz w:val="13"/>
                <w:szCs w:val="13"/>
                <w:color w:val="auto"/>
              </w:rPr>
            </w:pPr>
          </w:p>
        </w:tc>
        <w:tc>
          <w:tcPr>
            <w:tcW w:w="10200" w:type="dxa"/>
            <w:vAlign w:val="bottom"/>
            <w:gridSpan w:val="2"/>
            <w:vMerge w:val="restart"/>
          </w:tcPr>
          <w:p>
            <w:pPr>
              <w:ind w:left="47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102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20" w:type="dxa"/>
            <w:vAlign w:val="bottom"/>
          </w:tcPr>
          <w:p>
            <w:pPr>
              <w:jc w:val="right"/>
              <w:ind w:right="422"/>
              <w:spacing w:after="0" w:line="169" w:lineRule="exact"/>
              <w:rPr>
                <w:sz w:val="20"/>
                <w:szCs w:val="20"/>
                <w:color w:val="auto"/>
              </w:rPr>
            </w:pPr>
            <w:r>
              <w:rPr>
                <w:rFonts w:ascii="Times New Roman" w:cs="Times New Roman" w:eastAsia="Times New Roman" w:hAnsi="Times New Roman"/>
                <w:sz w:val="18"/>
                <w:szCs w:val="18"/>
                <w:color w:val="auto"/>
                <w:w w:val="98"/>
              </w:rPr>
              <w:t>99.1*</w:t>
            </w:r>
          </w:p>
        </w:tc>
        <w:tc>
          <w:tcPr>
            <w:tcW w:w="120" w:type="dxa"/>
            <w:vAlign w:val="bottom"/>
          </w:tcPr>
          <w:p>
            <w:pPr>
              <w:spacing w:after="0"/>
              <w:rPr>
                <w:sz w:val="14"/>
                <w:szCs w:val="14"/>
                <w:color w:val="auto"/>
              </w:rPr>
            </w:pPr>
          </w:p>
        </w:tc>
        <w:tc>
          <w:tcPr>
            <w:tcW w:w="102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J.P. Morgan Real Estate Income Trust, Inc. Annual Meeting of Stockholders Proxy Statement dated May 26, 2026.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80" w:type="dxa"/>
            <w:vAlign w:val="bottom"/>
            <w:tcBorders>
              <w:right w:val="single" w:sz="8" w:color="0000EE"/>
            </w:tcBorders>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right="4700" w:firstLine="8"/>
        <w:spacing w:after="0" w:line="407" w:lineRule="auto"/>
        <w:tabs>
          <w:tab w:leader="none" w:pos="102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Inline XBRL document) *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J.P. Morgan Real Estate Income Trust, Inc.</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26, 2026</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Lawrence A. Goodfield, Jr.</w:t>
            </w:r>
          </w:p>
        </w:tc>
      </w:tr>
      <w:tr>
        <w:trPr>
          <w:trHeight w:val="191"/>
        </w:trPr>
        <w:tc>
          <w:tcPr>
            <w:tcW w:w="5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Lawrence A. Goodfield, Jr.</w:t>
            </w:r>
          </w:p>
        </w:tc>
      </w:tr>
      <w:tr>
        <w:trPr>
          <w:trHeight w:val="234"/>
        </w:trPr>
        <w:tc>
          <w:tcPr>
            <w:tcW w:w="5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979"/>
        </w:trPr>
        <w:tc>
          <w:tcPr>
            <w:tcW w:w="54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251460</wp:posOffset>
            </wp:positionV>
            <wp:extent cx="1234440" cy="436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444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J.P. Morgan Real Estate Income Trust, Inc.</w:t>
      </w:r>
    </w:p>
    <w:p>
      <w:pPr>
        <w:spacing w:after="0" w:line="200" w:lineRule="exact"/>
        <w:rPr>
          <w:sz w:val="20"/>
          <w:szCs w:val="20"/>
          <w:color w:val="auto"/>
        </w:rPr>
      </w:pPr>
    </w:p>
    <w:p>
      <w:pPr>
        <w:spacing w:after="0" w:line="20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390 Madison Avenue</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1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26,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9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the Annual Meeting of Stockholders of J.P. Morgan Real Estate Income Trust, Inc. to be held on August 7, 2026 at 9:30 a.m., Eastern Time (the “Annual Meeting”). The Annual Meeting will be a virtual meeting of stockholders. You will be able to attend the Annual Meeting and vote and submit questions during the Annual Meeting via a live audio webcast by visiting www.proxydocs.com/JPMREIT.</w:t>
      </w:r>
    </w:p>
    <w:p>
      <w:pPr>
        <w:spacing w:after="0" w:line="6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Notice of the Annual Meeting of Stockholders and proxy statement accompanying this letter provide an outline of the business to be conducted at the meeting. At the meeting, you will be asked to:</w:t>
      </w:r>
    </w:p>
    <w:p>
      <w:pPr>
        <w:spacing w:after="0" w:line="54" w:lineRule="exact"/>
        <w:rPr>
          <w:sz w:val="20"/>
          <w:szCs w:val="20"/>
          <w:color w:val="auto"/>
        </w:rPr>
      </w:pPr>
    </w:p>
    <w:p>
      <w:pPr>
        <w:ind w:left="1500" w:right="20" w:hanging="690"/>
        <w:spacing w:after="0" w:line="282" w:lineRule="auto"/>
        <w:tabs>
          <w:tab w:leader="none" w:pos="11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the five members of the board of directors named in the enclosed proxy statement to serve as directors until the 2027 annual meeting of stockholders and until their successors are duly elected and qualify;</w:t>
      </w:r>
    </w:p>
    <w:p>
      <w:pPr>
        <w:spacing w:after="0" w:line="53" w:lineRule="exact"/>
        <w:rPr>
          <w:rFonts w:ascii="Times New Roman" w:cs="Times New Roman" w:eastAsia="Times New Roman" w:hAnsi="Times New Roman"/>
          <w:sz w:val="18"/>
          <w:szCs w:val="18"/>
          <w:color w:val="auto"/>
        </w:rPr>
      </w:pPr>
    </w:p>
    <w:p>
      <w:pPr>
        <w:ind w:left="1500" w:right="20" w:hanging="690"/>
        <w:spacing w:after="0" w:line="282" w:lineRule="auto"/>
        <w:tabs>
          <w:tab w:leader="none" w:pos="11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appointment of PricewaterhouseCoopers LLP as our independent registered public accounting firm for the fiscal year ending December 31, 2026; and</w:t>
      </w:r>
    </w:p>
    <w:p>
      <w:pPr>
        <w:spacing w:after="0" w:line="53" w:lineRule="exact"/>
        <w:rPr>
          <w:rFonts w:ascii="Times New Roman" w:cs="Times New Roman" w:eastAsia="Times New Roman" w:hAnsi="Times New Roman"/>
          <w:sz w:val="18"/>
          <w:szCs w:val="18"/>
          <w:color w:val="auto"/>
        </w:rPr>
      </w:pPr>
    </w:p>
    <w:p>
      <w:pPr>
        <w:ind w:left="1180" w:hanging="370"/>
        <w:spacing w:after="0"/>
        <w:tabs>
          <w:tab w:leader="none" w:pos="1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 such other business that may properly come before the Annual Meeting, and any adjournments or postponements thereof.</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unanimously recommends that you vote for each of the proposals to be considered and voted on at the Annual Meeting.</w:t>
      </w:r>
    </w:p>
    <w:p>
      <w:pPr>
        <w:spacing w:after="0" w:line="11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Your vote is important to us. </w:t>
      </w:r>
      <w:r>
        <w:rPr>
          <w:rFonts w:ascii="Times New Roman" w:cs="Times New Roman" w:eastAsia="Times New Roman" w:hAnsi="Times New Roman"/>
          <w:sz w:val="18"/>
          <w:szCs w:val="18"/>
          <w:color w:val="auto"/>
        </w:rPr>
        <w:t>Whether or not you plan to attend the virtual Annual Meeting, I urge you to authorize a proxy to vote your shares as soon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possible. You may authorize a proxy to vote your shares on the internet or by telephone, or, if you received the proxy materials by mail, you may also authorize a proxy to vote your shares by mail. Your vote will ensure your representation at the Annual Meeting regardless of whether you attend via webcast on August 7, 2026.</w:t>
      </w:r>
    </w:p>
    <w:p>
      <w:pPr>
        <w:spacing w:after="0" w:line="200" w:lineRule="exact"/>
        <w:rPr>
          <w:sz w:val="20"/>
          <w:szCs w:val="20"/>
          <w:color w:val="auto"/>
        </w:rPr>
      </w:pPr>
    </w:p>
    <w:p>
      <w:pPr>
        <w:spacing w:after="0" w:line="2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Sincerely yours,</w:t>
      </w:r>
    </w:p>
    <w:p>
      <w:pPr>
        <w:spacing w:after="0" w:line="1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 Chad Tredway</w:t>
      </w:r>
    </w:p>
    <w:p>
      <w:pPr>
        <w:spacing w:after="0" w:line="1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Chad Tredway</w:t>
      </w:r>
    </w:p>
    <w:p>
      <w:pPr>
        <w:spacing w:after="0" w:line="2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Chief Executive Officer and Chairperson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1116330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ind w:left="3420"/>
        <w:spacing w:after="0"/>
        <w:rPr>
          <w:sz w:val="20"/>
          <w:szCs w:val="20"/>
          <w:color w:val="auto"/>
        </w:rPr>
      </w:pPr>
      <w:r>
        <w:rPr>
          <w:rFonts w:ascii="Times New Roman" w:cs="Times New Roman" w:eastAsia="Times New Roman" w:hAnsi="Times New Roman"/>
          <w:sz w:val="18"/>
          <w:szCs w:val="18"/>
          <w:b w:val="1"/>
          <w:bCs w:val="1"/>
          <w:color w:val="auto"/>
        </w:rPr>
        <w:t>J.P. MORGAN REAL ESTATE INCOME TRUST, INC.</w:t>
      </w:r>
    </w:p>
    <w:p>
      <w:pPr>
        <w:spacing w:after="0" w:line="18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390 Madison Avenue</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To Be Held on August 7,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Stockholders of J.P. Morgan Real Estate Income Trust, Inc.:</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NOTICE IS HEREBY GIVEN THAT the Annual Meeting of Stockholders of J.P. Morgan Real Estate Income Trust, Inc., a Maryland corporation (the “Company”), will be held on August 7, 2026 at 9:30 a.m., Eastern Time (the “Annual Meeting”). The Annual Meeting will be a virtual meeting of stockholders. You will be able to attend the Annual Meeting and vote and submit questions during the Annual Meeting via a live audio webcast by visiting www.proxydocs.com/JPMREIT. The Annual Meeting is held for the following purposes:</w:t>
      </w:r>
    </w:p>
    <w:p>
      <w:pPr>
        <w:spacing w:after="0" w:line="72" w:lineRule="exact"/>
        <w:rPr>
          <w:sz w:val="20"/>
          <w:szCs w:val="20"/>
          <w:color w:val="auto"/>
        </w:rPr>
      </w:pPr>
    </w:p>
    <w:p>
      <w:pPr>
        <w:ind w:left="1500" w:right="160" w:hanging="690"/>
        <w:spacing w:after="0" w:line="282" w:lineRule="auto"/>
        <w:tabs>
          <w:tab w:leader="none" w:pos="11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five members of the board of directors named in the enclosed proxy statement to serve as directors of the Company until the 2027 annual meeting of stockholders and until their successors are duly elected and qualify;</w:t>
      </w:r>
    </w:p>
    <w:p>
      <w:pPr>
        <w:spacing w:after="0" w:line="53" w:lineRule="exact"/>
        <w:rPr>
          <w:rFonts w:ascii="Times New Roman" w:cs="Times New Roman" w:eastAsia="Times New Roman" w:hAnsi="Times New Roman"/>
          <w:sz w:val="18"/>
          <w:szCs w:val="18"/>
          <w:color w:val="auto"/>
        </w:rPr>
      </w:pPr>
    </w:p>
    <w:p>
      <w:pPr>
        <w:ind w:left="1500" w:right="100" w:hanging="690"/>
        <w:spacing w:after="0" w:line="282" w:lineRule="auto"/>
        <w:tabs>
          <w:tab w:leader="none" w:pos="11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PricewaterhouseCoopers LLP as the Company’s independent registered public accounting firm for the fiscal year ending December 31, 2026; and</w:t>
      </w:r>
    </w:p>
    <w:p>
      <w:pPr>
        <w:spacing w:after="0" w:line="53" w:lineRule="exact"/>
        <w:rPr>
          <w:rFonts w:ascii="Times New Roman" w:cs="Times New Roman" w:eastAsia="Times New Roman" w:hAnsi="Times New Roman"/>
          <w:sz w:val="18"/>
          <w:szCs w:val="18"/>
          <w:color w:val="auto"/>
        </w:rPr>
      </w:pPr>
    </w:p>
    <w:p>
      <w:pPr>
        <w:ind w:left="1180" w:hanging="370"/>
        <w:spacing w:after="0"/>
        <w:tabs>
          <w:tab w:leader="none" w:pos="1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that may properly come before the Annual Meeting, and any adjournments or postponements thereof.</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board of directors has fixed the close of business on May 22, 2026, as the record date for the determination of stockholders entitled to notice of, and to vote at, the Annual Meeting and any adjournments or postponements thereof.</w:t>
      </w:r>
    </w:p>
    <w:p>
      <w:pPr>
        <w:spacing w:after="0" w:line="50"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Annual Meeting. </w:t>
      </w:r>
      <w:r>
        <w:rPr>
          <w:rFonts w:ascii="Times New Roman" w:cs="Times New Roman" w:eastAsia="Times New Roman" w:hAnsi="Times New Roman"/>
          <w:sz w:val="18"/>
          <w:szCs w:val="18"/>
          <w:color w:val="auto"/>
        </w:rPr>
        <w:t>The Company’s proxy statement, the proxy card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annual report to stockholders for the year ended December 31, 2025 are available at www.proxydocs.com/JPMREIT.</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Stockholders are requested to promptly authorize a proxy over the internet or by telephone, or execute and return the accompanying proxy card, which is being solicited by the board of directors of the Company. You may authorize a proxy over the internet or by telephone by following the instructions in the proxy card. You may execute the proxy card using the methods described in the proxy card. Authorizing a proxy is important to ensure a quorum at the Annual Meeting. Proxies may be revoked at any time before they are exercised by submitting a written notice of revocation or a subsequently executed proxy, or by attending the virtual Annual Meeting and voting virtually in person.</w:t>
      </w:r>
    </w:p>
    <w:p>
      <w:pPr>
        <w:spacing w:after="0" w:line="200" w:lineRule="exact"/>
        <w:rPr>
          <w:sz w:val="20"/>
          <w:szCs w:val="20"/>
          <w:color w:val="auto"/>
        </w:rPr>
      </w:pPr>
    </w:p>
    <w:p>
      <w:pPr>
        <w:spacing w:after="0" w:line="2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 Christian P. Porwoll</w:t>
      </w:r>
    </w:p>
    <w:p>
      <w:pPr>
        <w:spacing w:after="0" w:line="1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Christian P. Porwoll</w:t>
      </w:r>
    </w:p>
    <w:p>
      <w:pPr>
        <w:spacing w:after="0" w:line="2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1604645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9" w:right="4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8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40" w:type="dxa"/>
            <w:vAlign w:val="bottom"/>
          </w:tcPr>
          <w:p>
            <w:pPr>
              <w:spacing w:after="0"/>
              <w:rPr>
                <w:sz w:val="20"/>
                <w:szCs w:val="20"/>
                <w:color w:val="auto"/>
              </w:rPr>
            </w:pPr>
          </w:p>
        </w:tc>
      </w:tr>
      <w:tr>
        <w:trPr>
          <w:trHeight w:val="392"/>
        </w:trPr>
        <w:tc>
          <w:tcPr>
            <w:tcW w:w="3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364"/>
        </w:trPr>
        <w:tc>
          <w:tcPr>
            <w:tcW w:w="60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GENERAL INFORMATION ABOUT THE ANNUAL MEETING AND VOTING</w:t>
            </w:r>
          </w:p>
        </w:tc>
        <w:tc>
          <w:tcPr>
            <w:tcW w:w="3960" w:type="dxa"/>
            <w:vAlign w:val="bottom"/>
            <w:gridSpan w:val="4"/>
          </w:tcPr>
          <w:p>
            <w:pPr>
              <w:spacing w:after="0"/>
              <w:rPr>
                <w:sz w:val="24"/>
                <w:szCs w:val="24"/>
                <w:color w:val="auto"/>
              </w:rPr>
            </w:pPr>
          </w:p>
        </w:tc>
        <w:tc>
          <w:tcPr>
            <w:tcW w:w="124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1</w:t>
            </w:r>
          </w:p>
        </w:tc>
      </w:tr>
      <w:tr>
        <w:trPr>
          <w:trHeight w:val="372"/>
        </w:trPr>
        <w:tc>
          <w:tcPr>
            <w:tcW w:w="33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PROPOSAL 1: ELECTION OF DIRECTORS</w:t>
            </w:r>
          </w:p>
        </w:tc>
        <w:tc>
          <w:tcPr>
            <w:tcW w:w="6640" w:type="dxa"/>
            <w:vAlign w:val="bottom"/>
            <w:gridSpan w:val="8"/>
          </w:tcPr>
          <w:p>
            <w:pPr>
              <w:spacing w:after="0"/>
              <w:rPr>
                <w:sz w:val="24"/>
                <w:szCs w:val="24"/>
                <w:color w:val="auto"/>
              </w:rPr>
            </w:pPr>
          </w:p>
        </w:tc>
        <w:tc>
          <w:tcPr>
            <w:tcW w:w="124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5</w:t>
            </w:r>
          </w:p>
        </w:tc>
      </w:tr>
      <w:tr>
        <w:trPr>
          <w:trHeight w:val="372"/>
        </w:trPr>
        <w:tc>
          <w:tcPr>
            <w:tcW w:w="39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COMPENSATION DISCUSSION AND ANALYSIS</w:t>
            </w:r>
          </w:p>
        </w:tc>
        <w:tc>
          <w:tcPr>
            <w:tcW w:w="6100" w:type="dxa"/>
            <w:vAlign w:val="bottom"/>
            <w:gridSpan w:val="6"/>
          </w:tcPr>
          <w:p>
            <w:pPr>
              <w:spacing w:after="0"/>
              <w:rPr>
                <w:sz w:val="24"/>
                <w:szCs w:val="24"/>
                <w:color w:val="auto"/>
              </w:rPr>
            </w:pPr>
          </w:p>
        </w:tc>
        <w:tc>
          <w:tcPr>
            <w:tcW w:w="124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12</w:t>
            </w:r>
          </w:p>
        </w:tc>
      </w:tr>
      <w:tr>
        <w:trPr>
          <w:trHeight w:val="371"/>
        </w:trPr>
        <w:tc>
          <w:tcPr>
            <w:tcW w:w="100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TRANSACTIONS WITH RELATED PERSONS AND CERTAIN CONTROL PERSONS</w:t>
            </w:r>
          </w:p>
        </w:tc>
        <w:tc>
          <w:tcPr>
            <w:tcW w:w="124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14</w:t>
            </w:r>
          </w:p>
        </w:tc>
      </w:tr>
      <w:tr>
        <w:trPr>
          <w:trHeight w:val="20"/>
        </w:trPr>
        <w:tc>
          <w:tcPr>
            <w:tcW w:w="380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72"/>
        </w:trPr>
        <w:tc>
          <w:tcPr>
            <w:tcW w:w="100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PROPOSAL 2: RATIFICATION OF APPOINTMENT OF INDEPENDENT REGISTERED PUBLIC ACCOUNTING FIRM</w:t>
            </w:r>
          </w:p>
        </w:tc>
        <w:tc>
          <w:tcPr>
            <w:tcW w:w="124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21</w:t>
            </w:r>
          </w:p>
        </w:tc>
      </w:tr>
      <w:tr>
        <w:trPr>
          <w:trHeight w:val="372"/>
        </w:trPr>
        <w:tc>
          <w:tcPr>
            <w:tcW w:w="91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SUBMISSION OF STOCKHOLDER PROPOSALS</w:t>
            </w:r>
          </w:p>
        </w:tc>
        <w:tc>
          <w:tcPr>
            <w:tcW w:w="880" w:type="dxa"/>
            <w:vAlign w:val="bottom"/>
          </w:tcPr>
          <w:p>
            <w:pPr>
              <w:spacing w:after="0"/>
              <w:rPr>
                <w:sz w:val="24"/>
                <w:szCs w:val="24"/>
                <w:color w:val="auto"/>
              </w:rPr>
            </w:pPr>
          </w:p>
        </w:tc>
        <w:tc>
          <w:tcPr>
            <w:tcW w:w="124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3800" w:type="dxa"/>
            <w:vAlign w:val="bottom"/>
            <w:gridSpan w:val="2"/>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72"/>
        </w:trPr>
        <w:tc>
          <w:tcPr>
            <w:tcW w:w="100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DELIVERY OF DOCUMENTS TO SECURITY HOLDERS SHARING AN ADDRESS</w:t>
            </w:r>
          </w:p>
        </w:tc>
        <w:tc>
          <w:tcPr>
            <w:tcW w:w="124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25</w:t>
            </w:r>
          </w:p>
        </w:tc>
      </w:tr>
      <w:tr>
        <w:trPr>
          <w:trHeight w:val="371"/>
        </w:trPr>
        <w:tc>
          <w:tcPr>
            <w:tcW w:w="64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OTHER MATTERS TO COME BEFORE THE MEETING</w:t>
            </w:r>
          </w:p>
        </w:tc>
        <w:tc>
          <w:tcPr>
            <w:tcW w:w="3560" w:type="dxa"/>
            <w:vAlign w:val="bottom"/>
            <w:gridSpan w:val="3"/>
          </w:tcPr>
          <w:p>
            <w:pPr>
              <w:spacing w:after="0"/>
              <w:rPr>
                <w:sz w:val="24"/>
                <w:szCs w:val="24"/>
                <w:color w:val="auto"/>
              </w:rPr>
            </w:pPr>
          </w:p>
        </w:tc>
        <w:tc>
          <w:tcPr>
            <w:tcW w:w="124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25</w:t>
            </w:r>
          </w:p>
        </w:tc>
      </w:tr>
      <w:tr>
        <w:trPr>
          <w:trHeight w:val="20"/>
        </w:trPr>
        <w:tc>
          <w:tcPr>
            <w:tcW w:w="33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Each of the terms “we,” “our,” “us” and “our company” refers to J.P. Morgan Real Estate Income Trust, Inc. The term “Adviser” or “JPMIM” refers to J.P. Morgan Investment Management Inc. References to (i) “J.P. Morgan” refer to, collectively, JPMIM, JPMorgan Chase &amp; Co., and their respective affiliates and subsidiaries and, where applicable, any successor thereto; (ii) “JPMAM” refer to, collectively, J.P. Morgan Asset Management Holdings Inc., its subsidiaries and affiliates and any successor thereto comprising the investment management businesses of J.P. Morgan; and (iii) “Real Estate Americas” or “REA” refer to a sub-unit of JPMAM with expertise in real estate and real estate-related investments in the United States.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ind w:left="3420"/>
        <w:spacing w:after="0"/>
        <w:rPr>
          <w:sz w:val="20"/>
          <w:szCs w:val="20"/>
          <w:color w:val="auto"/>
        </w:rPr>
      </w:pPr>
      <w:r>
        <w:rPr>
          <w:rFonts w:ascii="Times New Roman" w:cs="Times New Roman" w:eastAsia="Times New Roman" w:hAnsi="Times New Roman"/>
          <w:sz w:val="18"/>
          <w:szCs w:val="18"/>
          <w:b w:val="1"/>
          <w:bCs w:val="1"/>
          <w:color w:val="auto"/>
        </w:rPr>
        <w:t>J.P. MORGAN REAL ESTATE INCOME TRUST, INC.</w:t>
      </w:r>
    </w:p>
    <w:p>
      <w:pPr>
        <w:spacing w:after="0" w:line="18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390 Madison Avenue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17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18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To Be Held on August 7, 2026</w:t>
      </w:r>
    </w:p>
    <w:p>
      <w:pPr>
        <w:spacing w:after="0" w:line="18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INFORMATION ABOUT THE ANNUAL MEETING AND VOTING</w:t>
      </w:r>
    </w:p>
    <w:p>
      <w:pPr>
        <w:spacing w:after="0" w:line="18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the board of directors (the “Board”) of J.P. Morgan Real Estate Income Trust, Inc., a Maryland corporation, for use at our Annual Meeting of Stockholders to be held on August 7, 2026 at 9:30 a.m., Eastern Time, and any adjournments or postponements thereof (the “Annual Meeting”). The Annual Meeting will be a virtual meeting of stockholders. You will be able to attend the Annual Meeting and vote and submit questions during the Annual Meeting via a live audio webcast by visiting www.proxydocs.com/JPMREIT. This proxy statement and the accompanying materials are being distributed on or about May 26, 2026, to stockholders of record described below and are available at www.jpmreit.com/stockholders.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and when will the Annual Meeting be held?</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Annual Meeting will be held on August 7, 2026 at 9:30 a.m., Eastern Time. This year’s Annual Meeting will be a virtual meeting of stockholders. You will be able to attend the Annual Meeting and vote and submit questions during the Annual Meeting via a live audio webcast by visiting www.proxydocs.com/JPMREIT. Log on to the webcast with the control number found in the box on your proxy card. You must register to attend the virtual meeting by clicking the “register” button when visiting www.proxydocs.com/JPMREIT. Once registered, you will receive an email confirming your registration which will also include additional information regarding the meeting including a unique link to join the meeting.</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this document and why have I received it?</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Proxy Statement and the enclosed proxy card are being furnished to you, as a holder of our common stock, par value $0.01 per share, because the Board is soliciting your proxy to vote at the Annual Meeting. This Proxy Statement contains information that stockholders should consider before voting on the proposals to be presented at the meeting. References in this Proxy Statement to “stockholders” refers to holders of our common stock only.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two proposals scheduled to be considered and voted on at the Annual Meeting:</w:t>
      </w:r>
    </w:p>
    <w:p>
      <w:pPr>
        <w:spacing w:after="0" w:line="1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Proposal 1</w:t>
      </w:r>
      <w:r>
        <w:rPr>
          <w:rFonts w:ascii="Times New Roman" w:cs="Times New Roman" w:eastAsia="Times New Roman" w:hAnsi="Times New Roman"/>
          <w:sz w:val="18"/>
          <w:szCs w:val="18"/>
          <w:color w:val="auto"/>
        </w:rPr>
        <w:t>: Election of five director nominees listed herein; and</w:t>
      </w:r>
    </w:p>
    <w:p>
      <w:pPr>
        <w:spacing w:after="0" w:line="130" w:lineRule="exact"/>
        <w:rPr>
          <w:sz w:val="20"/>
          <w:szCs w:val="20"/>
          <w:color w:val="auto"/>
        </w:rPr>
      </w:pPr>
    </w:p>
    <w:p>
      <w:pPr>
        <w:ind w:left="1140" w:firstLine="21"/>
        <w:spacing w:after="0" w:line="286" w:lineRule="auto"/>
        <w:rPr>
          <w:sz w:val="20"/>
          <w:szCs w:val="20"/>
          <w:color w:val="auto"/>
        </w:rPr>
      </w:pPr>
      <w:r>
        <w:rPr>
          <w:rFonts w:ascii="Times New Roman" w:cs="Times New Roman" w:eastAsia="Times New Roman" w:hAnsi="Times New Roman"/>
          <w:sz w:val="18"/>
          <w:szCs w:val="18"/>
          <w:b w:val="1"/>
          <w:bCs w:val="1"/>
          <w:color w:val="auto"/>
        </w:rPr>
        <w:t>Proposal 2</w:t>
      </w:r>
      <w:r>
        <w:rPr>
          <w:rFonts w:ascii="Times New Roman" w:cs="Times New Roman" w:eastAsia="Times New Roman" w:hAnsi="Times New Roman"/>
          <w:sz w:val="18"/>
          <w:szCs w:val="18"/>
          <w:color w:val="auto"/>
        </w:rPr>
        <w:t>: Ratification of the appointment of PricewaterhouseCoopers LLP as our independent registered public accounting firm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ending December 31, 2026.</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Dissenters’ rights are not applicable to matters being voted upon.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required vote for approval of each proposal?</w:t>
      </w:r>
    </w:p>
    <w:p>
      <w:pPr>
        <w:spacing w:after="0" w:line="117" w:lineRule="exact"/>
        <w:rPr>
          <w:sz w:val="20"/>
          <w:szCs w:val="20"/>
          <w:color w:val="auto"/>
        </w:rPr>
      </w:pPr>
    </w:p>
    <w:p>
      <w:pPr>
        <w:ind w:left="760" w:right="1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Election of five director nominees listed herein. The affirmative vote of a majority of the shares entitled to vote that are present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by attending the virtual meeting or by proxy at the Annual Meeting is required for the election of each nominee for director. Withheld votes and broker “non-votes,” if any, will have the effect of a vote against the nominees. If an incumbent nominee for the Board fails to receive the required number of votes for re-election, then under Maryland law, he or she will continue to serve as a “holdover” director until his or her successor is duly elected and qualifies.</w:t>
      </w:r>
    </w:p>
    <w:p>
      <w:pPr>
        <w:spacing w:after="0" w:line="71" w:lineRule="exact"/>
        <w:rPr>
          <w:sz w:val="20"/>
          <w:szCs w:val="20"/>
          <w:color w:val="auto"/>
        </w:rPr>
      </w:pPr>
    </w:p>
    <w:p>
      <w:pPr>
        <w:ind w:left="760" w:right="40"/>
        <w:spacing w:after="0" w:line="262" w:lineRule="auto"/>
        <w:rPr>
          <w:sz w:val="20"/>
          <w:szCs w:val="20"/>
          <w:color w:val="auto"/>
        </w:rPr>
      </w:pPr>
      <w:r>
        <w:rPr>
          <w:rFonts w:ascii="Times New Roman" w:cs="Times New Roman" w:eastAsia="Times New Roman" w:hAnsi="Times New Roman"/>
          <w:sz w:val="18"/>
          <w:szCs w:val="18"/>
          <w:b w:val="1"/>
          <w:bCs w:val="1"/>
          <w:color w:val="auto"/>
        </w:rPr>
        <w:t>Proposal 2</w:t>
      </w:r>
      <w:r>
        <w:rPr>
          <w:rFonts w:ascii="Times New Roman" w:cs="Times New Roman" w:eastAsia="Times New Roman" w:hAnsi="Times New Roman"/>
          <w:sz w:val="18"/>
          <w:szCs w:val="18"/>
          <w:color w:val="auto"/>
        </w:rPr>
        <w:t>: Ratification of the appointment of PricewaterhouseCoopers LLP as our independent registered public accounting firm the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ending December 31, 2026. A majority of the votes cast at the Annual Meeting in person by attending the virtual meeting or by proxy is required for the auditor ratification proposal. Abstentions, if any, will not affect the outcome of this proposal. Your shares may be voted for this proposal if they are held in the name of a brokerage firm even if you do not provide the brokerage firm with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662305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How does the Board recommend that I vote?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recommends that you vote your shares as follows:</w:t>
      </w:r>
    </w:p>
    <w:p>
      <w:pPr>
        <w:spacing w:after="0" w:line="1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each of the five director nominees listed herein; and</w:t>
      </w:r>
    </w:p>
    <w:p>
      <w:pPr>
        <w:spacing w:after="0" w:line="130" w:lineRule="exact"/>
        <w:rPr>
          <w:sz w:val="20"/>
          <w:szCs w:val="20"/>
          <w:color w:val="auto"/>
        </w:rPr>
      </w:pPr>
    </w:p>
    <w:p>
      <w:pPr>
        <w:ind w:left="1140" w:right="100" w:firstLine="2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PricewaterhouseCoopers LLP as our independent registered public accounting firm for the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ending December 31, 2026.</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Holders of record of shares of our common stock as of the close of business on May 22, 2026 (the “Record Date”) will be entitled to vote at the virtual Annual Meeting. As of the Record Date, there were 98,459,026 shares of our common stock outstanding. You are entitled to one vote for each share you held as of the Record Date.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 if I am a registered stockholder?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registered stockholder, you may authorize a proxy to vote your shares in any of the ways described below, or in person by attending the virtual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Meeting:</w:t>
      </w:r>
    </w:p>
    <w:p>
      <w:pPr>
        <w:spacing w:after="0" w:line="94" w:lineRule="exact"/>
        <w:rPr>
          <w:sz w:val="20"/>
          <w:szCs w:val="20"/>
          <w:color w:val="auto"/>
        </w:rPr>
      </w:pPr>
    </w:p>
    <w:p>
      <w:pPr>
        <w:ind w:left="1140" w:right="240" w:firstLine="21"/>
        <w:spacing w:after="0" w:line="282" w:lineRule="auto"/>
        <w:rPr>
          <w:sz w:val="20"/>
          <w:szCs w:val="20"/>
          <w:color w:val="auto"/>
        </w:rPr>
      </w:pPr>
      <w:r>
        <w:rPr>
          <w:rFonts w:ascii="Times New Roman" w:cs="Times New Roman" w:eastAsia="Times New Roman" w:hAnsi="Times New Roman"/>
          <w:sz w:val="18"/>
          <w:szCs w:val="18"/>
          <w:color w:val="auto"/>
        </w:rPr>
        <w:t>via the internet by going to www.proxypush.com/JPMREIT and following the on-screen directions. Please have your proxy card in hand when accessing the website, and follow the instructions listed;</w:t>
      </w:r>
    </w:p>
    <w:p>
      <w:pPr>
        <w:spacing w:after="0" w:line="67" w:lineRule="exact"/>
        <w:rPr>
          <w:sz w:val="20"/>
          <w:szCs w:val="20"/>
          <w:color w:val="auto"/>
        </w:rPr>
      </w:pPr>
    </w:p>
    <w:p>
      <w:pPr>
        <w:ind w:left="1140" w:right="180" w:firstLine="21"/>
        <w:spacing w:after="0" w:line="282" w:lineRule="auto"/>
        <w:rPr>
          <w:sz w:val="20"/>
          <w:szCs w:val="20"/>
          <w:color w:val="auto"/>
        </w:rPr>
      </w:pPr>
      <w:r>
        <w:rPr>
          <w:rFonts w:ascii="Times New Roman" w:cs="Times New Roman" w:eastAsia="Times New Roman" w:hAnsi="Times New Roman"/>
          <w:sz w:val="18"/>
          <w:szCs w:val="18"/>
          <w:color w:val="auto"/>
        </w:rPr>
        <w:t>by touch-tone by calling the number listed on the proxy card, 1-866-451-2390, and following the recorded instructions. You will need the control number included on your proxy card in order to record your voting instructions by telephone; or</w:t>
      </w:r>
    </w:p>
    <w:p>
      <w:pPr>
        <w:spacing w:after="0" w:line="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by mail by marking, signing, dating and returning the enclosed proxy card.</w:t>
      </w:r>
    </w:p>
    <w:p>
      <w:pPr>
        <w:spacing w:after="0" w:line="13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If you authorize a proxy by telephone or internet, you do not need to mail your proxy card. See the attached proxy card for more instructions on how to vote your shares.</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All proxies that are properly executed and received by our Secretary prior to the Annual Meeting, and are not revoked, will be voted at the Annual Meeting. Even if you plan to virtually attend the Annual Meeting, we urge you to return your proxy card or submit a proxy by telephone or via the internet to assure the representation of your shares at the Annual Meeting.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 if I hold my shares in “street name”?</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you hold your shares through an intermediary, such as a bank or broker, you must register in advance to attend the virtual Annual Meeting. To register to attend the Annual Meeting online by webcast you must submit proof of your proxy power (legal proxy) reflecting your holdings along with your name and email address to BetaNXT Inc. You must contact the bank or broker who holds your shares to obtain your legal proxy. Requests for registration must be labeled as “Legal Proxy” and be received no later than 5:00 p.m., Eastern Time, three (3) business days prior to the date of the Annual Meeting. You will receive a confirmation of your registration by email after we receive your registration materials. Requests for registration should be directed to us by emailing an image of your legal proxy to legalproxy@betanxt.com.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authorize a proxy to vote over the internet or by telephone?</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To authorize a proxy to vote electronically via the internet, go to www.proxydocs.com/JPMREIT and follow the instructions. Please have your proxy card in hand when accessing the website.</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you have access to a touch-tone telephone, you may authorize your proxy by dialing 1-866-451-2390 and following the recorded instructions. You will need the control number included in your proxy card in order to record your voting instructions by telephone.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can authorize a proxy to vote via the internet or by telephone at any time prior to the Annual Meeting.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return my proxy but do not mark it to show how I am voting?</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you submit a signed proxy without indicating your vote on any matter, the designated proxies will affirmatively vote to elect all five director nominees as directors and to approve the ratification of the appointment of PricewaterhouseCoopers LLP as our independent registered public accounting firm for the year ending December 31, 2026.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other matters come up at the Annual Meeting?</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At the date this Proxy Statement went to print, we did not know of any matters to be properly presented for consideration at the Annual Meeting other than those referred to in this Proxy Statement. If other matters are properly presented for consideration at the Annual Meeting or any adjournment or postponement thereof and you are a stockholder of record and have submitted a proxy card, the persons named in your proxy card will have the discretion to vote on those matters for you.</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Can I change my vote or revoke my proxy after I authorize my proxy?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 You can change your vote by taking any of the following actions:</w:t>
      </w:r>
    </w:p>
    <w:p>
      <w:pPr>
        <w:spacing w:after="0" w:line="113" w:lineRule="exact"/>
        <w:rPr>
          <w:sz w:val="20"/>
          <w:szCs w:val="20"/>
          <w:color w:val="auto"/>
        </w:rPr>
      </w:pPr>
    </w:p>
    <w:p>
      <w:pPr>
        <w:ind w:left="1140" w:firstLine="21"/>
        <w:spacing w:after="0" w:line="282" w:lineRule="auto"/>
        <w:rPr>
          <w:sz w:val="20"/>
          <w:szCs w:val="20"/>
          <w:color w:val="auto"/>
        </w:rPr>
      </w:pPr>
      <w:r>
        <w:rPr>
          <w:rFonts w:ascii="Times New Roman" w:cs="Times New Roman" w:eastAsia="Times New Roman" w:hAnsi="Times New Roman"/>
          <w:sz w:val="18"/>
          <w:szCs w:val="18"/>
          <w:color w:val="auto"/>
        </w:rPr>
        <w:t>executing or authorizing, dating and delivering to us a new proxy with a later date that is received prior to 11:59 p.m., Eastern Time, on August 6, 2026;</w:t>
      </w:r>
    </w:p>
    <w:p>
      <w:pPr>
        <w:spacing w:after="0" w:line="67" w:lineRule="exact"/>
        <w:rPr>
          <w:sz w:val="20"/>
          <w:szCs w:val="20"/>
          <w:color w:val="auto"/>
        </w:rPr>
      </w:pPr>
    </w:p>
    <w:p>
      <w:pPr>
        <w:ind w:left="1140" w:firstLine="21"/>
        <w:spacing w:after="0" w:line="282" w:lineRule="auto"/>
        <w:rPr>
          <w:sz w:val="20"/>
          <w:szCs w:val="20"/>
          <w:color w:val="auto"/>
        </w:rPr>
      </w:pPr>
      <w:r>
        <w:rPr>
          <w:rFonts w:ascii="Times New Roman" w:cs="Times New Roman" w:eastAsia="Times New Roman" w:hAnsi="Times New Roman"/>
          <w:sz w:val="18"/>
          <w:szCs w:val="18"/>
          <w:color w:val="auto"/>
        </w:rPr>
        <w:t>authorizing a proxy again via the internet or by telephone at a later time before the closing of those voting facilities at 11:59 p.m., Eastern Time, on August 6, 2026;</w:t>
      </w:r>
    </w:p>
    <w:p>
      <w:pPr>
        <w:spacing w:after="0" w:line="67" w:lineRule="exact"/>
        <w:rPr>
          <w:sz w:val="20"/>
          <w:szCs w:val="20"/>
          <w:color w:val="auto"/>
        </w:rPr>
      </w:pPr>
    </w:p>
    <w:p>
      <w:pPr>
        <w:ind w:left="1160" w:right="40"/>
        <w:spacing w:after="0" w:line="393" w:lineRule="auto"/>
        <w:rPr>
          <w:sz w:val="20"/>
          <w:szCs w:val="20"/>
          <w:color w:val="auto"/>
        </w:rPr>
      </w:pPr>
      <w:r>
        <w:rPr>
          <w:rFonts w:ascii="Times New Roman" w:cs="Times New Roman" w:eastAsia="Times New Roman" w:hAnsi="Times New Roman"/>
          <w:sz w:val="18"/>
          <w:szCs w:val="18"/>
          <w:color w:val="auto"/>
        </w:rPr>
        <w:t>sending a written statement revoking your proxy card to our Secretary, provided such statement is received no later than August 6, 2026; or virtually attending the Annual Meeting, revoking your proxy and voting your shares.</w:t>
      </w:r>
    </w:p>
    <w:p>
      <w:pPr>
        <w:spacing w:after="0" w:line="2"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Your virtual attendance at the Annual Meeting will not, by itself, revoke a proxy previously authorized by you. We will honor the proxy card or authorization with the latest date.</w:t>
      </w:r>
    </w:p>
    <w:p>
      <w:pPr>
        <w:spacing w:after="0" w:line="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Proxy revocation notices should be sent to: J.P. Morgan Real Estate Income Trust, Inc., 390 Madison Avenue, New York, New York 10017, Attention: Secretary. New paper proxy cards should be sent to: J.P. Morgan Real Estate Income Trust, Inc., c/o Proxy Tabulator, BetaNXT Inc., PO Box 8016, Cary, North Carolina 27512.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Annual Meeting will be a virtual meeting of stockholders, which allows stockholders the ability to more easily attend the Annual Meeting without incurring travel costs or other inconveniences. If you are a stockholder of record, you will be able to attend the Annual Meeting and vote and submit questions during the Annual Meeting via a live audio webcast by visiting www.proxydocs.com/JPMREIT, which provides our stockholders rights and opportunities to vote and ask questions equivalent to in-person meetings of stockholders. Log on to the webcast with the control number found in the box on your proxy card. You must register to attend the virtual meeting by clicking the “register” button when visiting www.proxydocs.com/JPMREIT. Once registered, you will receive an email confirming your registration which will also include additional information regarding the meeting including a unique link to join the meeting. The Annual Meeting will convene at 9:30 a.m., Eastern Time, on August 7, 2026.</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vote my shares in person at the virtual Annual Meeting?</w:t>
      </w:r>
    </w:p>
    <w:p>
      <w:pPr>
        <w:spacing w:after="0" w:line="1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If you are a stockholder of record as of the close of business on the Record Date and prefer to vote your shares at the virtual Annual Meeting, you may do so. Even if you plan to attend the virtual Annual Meeting, we encourage you to authorize a proxy to vote your shares in advance by internet, telephone or mail so that your vote will be counted even if you later decide not to attend the Annual Meeting.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constitutes a quorum?</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will convene the Annual Meeting if stockholders representing the required quorum of shares of our common stock entitled to vote either sign and return their paper proxy cards, authorize a proxy to vote electronically or telephonically or attend the virtual Annual Meeting. The presence, either virtually in person or by proxy, at the Annual Meeting of at least 50% of all the votes entitled to be cast on any matter will constitute a quorum. If a quorum is not present at the Annual Meeting, the Chairperson of the Annual Meeting may adjourn the Annual Meeting to a date not more than 120 days from the original Record Date for the Annual Meeting without notice other than an announcement at the Annual Meeting. If you sign and return your paper proxy card or authorize a proxy to vote electronically or telephonically, your shares will be counted to determine whether we have a quorum even if you abstain or fail to vote as indicated in the proxy materials. Abstentions will also be considered present for the purpose of determining whether we have a quorum.</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will count the votes?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Votes cast by proxy or virtually in person at the virtual Annual Meeting will be tabulated by an appointed inspector of election.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intend to announce preliminary voting results at the Annual Meeting and then disclose the final results in a Current Report on Form 8-K filed with the Securities and Exchange Commission (the “SEC”) within four business days after the date of the Annual Meeting.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get additional copies of this Proxy Statement relating to this solicitation?</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You may obtain additional copies of this Proxy Statement by writing to J.P. Morgan Real Estate Income Trust, Inc., 390 Madison Avenue, New York, New York 10017, Attention: Secretary.</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Where can I get more information about J.P. Morgan Real Estate Income Trust, Inc.?</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this solicitation, we have provided you with our Annual Report that contains our audited financial statements. We also file reports and other documents with the SEC. You can view these documents at the SEC’s website, www.sec.gov. You can also find more information on our website at www.jpmreit.com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is this solicitation being made?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solicitation is being made primarily by the mailing of these proxy materials. Supplemental solicitations may be made by mail or telephone by our officers and representatives, who will receive no extra compensation for their services. The expenses in connection with this solicitation, including preparing and mailing these proxy materials, will be borne by us. We will reimburse brokerage firms and others for their reasonable expenses in forwarding solicitation material to the beneficial owners of our common stock. We have hired BetaNXT Inc. to assist us in the distribution of our proxy materials and for the solicitation of proxy votes. We will pay BetaNXT Inc. customary fees and expenses for these services of approximately $12,000, excluding out-of-pocket expenses.</w:t>
      </w:r>
    </w:p>
    <w:p>
      <w:pPr>
        <w:spacing w:after="0" w:line="7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Upon request, we will also reimburse brokerage houses and other custodians, nominees and fiduciaries for forwarding proxy and solicitation materials to stockholders.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my vote make a difference?</w:t>
      </w:r>
    </w:p>
    <w:p>
      <w:pPr>
        <w:spacing w:after="0" w:line="11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 xml:space="preserve">Yes. Your vote is needed to ensure that the proposals can be acted upon. </w:t>
      </w:r>
      <w:r>
        <w:rPr>
          <w:rFonts w:ascii="Times New Roman" w:cs="Times New Roman" w:eastAsia="Times New Roman" w:hAnsi="Times New Roman"/>
          <w:sz w:val="18"/>
          <w:szCs w:val="18"/>
          <w:b w:val="1"/>
          <w:bCs w:val="1"/>
          <w:color w:val="auto"/>
        </w:rPr>
        <w:t>YOUR VOTE IS VERY IMPORTANT!</w:t>
      </w:r>
      <w:r>
        <w:rPr>
          <w:rFonts w:ascii="Times New Roman" w:cs="Times New Roman" w:eastAsia="Times New Roman" w:hAnsi="Times New Roman"/>
          <w:sz w:val="18"/>
          <w:szCs w:val="18"/>
          <w:color w:val="auto"/>
        </w:rPr>
        <w:t xml:space="preserve"> Your immediate response will help avoid potential delays and may save us significant additional expenses associated with soliciting stockholder votes. We encourage you to participate in the governance of our company.</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8" w:right="35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12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At the Annual Meeting, our stockholders are being asked to consider the election of five of our directors. Our directors are elected annually for a term of one year, and serve until the next annual meeting of stockholders and until their successors are duly elected and qualify. Our Board currently consists of five directors.</w:t>
      </w:r>
    </w:p>
    <w:p>
      <w:pPr>
        <w:spacing w:after="0" w:line="6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Each director named below has been nominated for election by the Board to serve a one-year term until the 2027 annual meeting of stockholders and until his or her successor is duly elected and qualifies. Each director has agreed to serve as a director if elected and has consented to being named as a nominee. No person being nominated as a director is being proposed for election pursuant to any agreement or understanding between such person and us.</w:t>
      </w:r>
    </w:p>
    <w:p>
      <w:pPr>
        <w:spacing w:after="0" w:line="6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 stockholder can vote for, or withhold his or her vote from, any or all of the director nominees. In the absence of instructions to the contrary, the persons named as proxies intend to affirmatively vote such proxy for the election of each of the director nominees named below. If any of the director nominees should decline or be unable to serve as a director, the persons named as proxies will vote for such other nominee as may be proposed by the Board. Our Board has no reason to believe that any of the persons named will be unable or unwilling to serve.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Director Nominees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and biographical descriptions set forth certain information regarding the director nominees, including a description of the experience, characteristics, attributes and skills of each director nominee that led the Board to conclude that each such person should serve as a director.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Age*</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76"/>
        </w:trPr>
        <w:tc>
          <w:tcPr>
            <w:tcW w:w="28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spacing w:after="0"/>
              <w:rPr>
                <w:sz w:val="15"/>
                <w:szCs w:val="15"/>
                <w:color w:val="auto"/>
              </w:rPr>
            </w:pPr>
          </w:p>
        </w:tc>
        <w:tc>
          <w:tcPr>
            <w:tcW w:w="6520" w:type="dxa"/>
            <w:vAlign w:val="bottom"/>
            <w:tcBorders>
              <w:bottom w:val="single" w:sz="8" w:color="auto"/>
            </w:tcBorders>
          </w:tcPr>
          <w:p>
            <w:pPr>
              <w:spacing w:after="0"/>
              <w:rPr>
                <w:sz w:val="15"/>
                <w:szCs w:val="15"/>
                <w:color w:val="auto"/>
              </w:rPr>
            </w:pPr>
          </w:p>
        </w:tc>
      </w:tr>
      <w:tr>
        <w:trPr>
          <w:trHeight w:val="228"/>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Chad Tredway</w:t>
            </w: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Chairperson of the Board and Chief Executive Officer</w:t>
            </w:r>
          </w:p>
        </w:tc>
      </w:tr>
      <w:tr>
        <w:trPr>
          <w:trHeight w:val="373"/>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Randy A. Daniels</w:t>
            </w: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74</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392"/>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Justin M. Murphy</w:t>
            </w: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391"/>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Yvonne D. Nelson</w:t>
            </w: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392"/>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William L. Ramseyer</w:t>
            </w: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Lead Independent Director</w:t>
            </w:r>
          </w:p>
        </w:tc>
      </w:tr>
      <w:tr>
        <w:trPr>
          <w:trHeight w:val="391"/>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*As of May 1, 2026.</w:t>
            </w:r>
          </w:p>
        </w:tc>
        <w:tc>
          <w:tcPr>
            <w:tcW w:w="1860" w:type="dxa"/>
            <w:vAlign w:val="bottom"/>
          </w:tcPr>
          <w:p>
            <w:pPr>
              <w:spacing w:after="0"/>
              <w:rPr>
                <w:sz w:val="24"/>
                <w:szCs w:val="24"/>
                <w:color w:val="auto"/>
              </w:rPr>
            </w:pPr>
          </w:p>
        </w:tc>
        <w:tc>
          <w:tcPr>
            <w:tcW w:w="6520" w:type="dxa"/>
            <w:vAlign w:val="bottom"/>
          </w:tcPr>
          <w:p>
            <w:pPr>
              <w:spacing w:after="0"/>
              <w:rPr>
                <w:sz w:val="24"/>
                <w:szCs w:val="24"/>
                <w:color w:val="auto"/>
              </w:rPr>
            </w:pPr>
          </w:p>
        </w:tc>
      </w:tr>
    </w:tbl>
    <w:p>
      <w:pPr>
        <w:spacing w:after="0" w:line="15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Chad Tredway </w:t>
      </w:r>
      <w:r>
        <w:rPr>
          <w:rFonts w:ascii="Times New Roman" w:cs="Times New Roman" w:eastAsia="Times New Roman" w:hAnsi="Times New Roman"/>
          <w:sz w:val="18"/>
          <w:szCs w:val="18"/>
          <w:color w:val="auto"/>
        </w:rPr>
        <w:t>has served as our Chairperson of the Board, Chief Executive Officer and member of our Board since March 2024. Mr. Tredway has been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Managing Director of JPMIM since December 2023, Head of Real Estate Americas since February 2024 and Head of JPMAM’s Global Real Estate platform since May 2025. Previously, Mr. Tredway founded and led Trio Investment Group (“Trio”), a boutique real estate investment management firm, specializing in institutional sale leaseback strategies, now part of JPMAM’s Real Estate Americas. Prior to founding Trio in 2021, Mr. Tredway was a Managing Director and Head of J.P. Morgan’s Real Estate Banking business. In this role, Mr. Tredway oversaw more than $20 billion in commercial real estate loan exposure and led a national team of 250 professionals. Furthermore, Mr. Tredway held senior roles within Commercial Term Lending at J.P. Morgan, where he helped build the largest multifamily lending portfolio in the United States. Mr. Tredway holds a B.A. in Accounting and Finance from Loyola University Chicago.</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Tredway is a valuable member of our Board because of his extensive real estate investment and real estate debt experience and his tenure with J.P.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w:t>
      </w:r>
    </w:p>
    <w:p>
      <w:pPr>
        <w:spacing w:after="0" w:line="9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Randy A. Daniels </w:t>
      </w:r>
      <w:r>
        <w:rPr>
          <w:rFonts w:ascii="Times New Roman" w:cs="Times New Roman" w:eastAsia="Times New Roman" w:hAnsi="Times New Roman"/>
          <w:sz w:val="18"/>
          <w:szCs w:val="18"/>
          <w:color w:val="auto"/>
        </w:rPr>
        <w:t>has served as an Independent Director since June 2022. Since April 2006, Mr. Daniels has served as the President of RAD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Associates LLC, a privately held real estate advisory firm, which assists major Chinese institutional investors identify viable real estate investment partners and projects in the United States. From January 2015 to December 2019, Mr. Daniels was a Managing Director at Pickwick Capital Partners, where he specialized in the private placement of foreign investment in real estate development projects in the United States. From April 2007 to December 2014, Mr. Daniels served as Vice Chairman, Director, and a member of the Real Estate Investment Group at Gilford Securities, a FINRA-registered broker-dealer and Securities Investor Protection Corporation member, where he specialized in the private placement of foreign investment in real estate development projects in the United States. Since April 2019, Mr. Daniels served as a director and as a member of the audit committee of Acrophyte Hospitality Trust, a publicly traded entity on the Singapore Exchange. He has served as Chairman of the board of directors of BWC Terminals, Inc., a privately held bulk liquid storage company, since August 2018, and Mr. Daniels has served on the board of managers of a U.S. real estate core-plus investments fund since April 2012. From 2007 to 2018, Mr. Daniels served on the board of managers of a real-asset investment fund focused on core and core-plus infrastructure assets globally. From 2001 to 2005, Mr. Daniels served as the</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1" w:name="page12"/>
    <w:bookmarkEnd w:id="11"/>
    <w:p>
      <w:pPr>
        <w:ind w:right="280"/>
        <w:spacing w:after="0" w:line="282" w:lineRule="auto"/>
        <w:rPr>
          <w:sz w:val="20"/>
          <w:szCs w:val="20"/>
          <w:color w:val="auto"/>
        </w:rPr>
      </w:pPr>
      <w:r>
        <w:rPr>
          <w:rFonts w:ascii="Times New Roman" w:cs="Times New Roman" w:eastAsia="Times New Roman" w:hAnsi="Times New Roman"/>
          <w:sz w:val="18"/>
          <w:szCs w:val="18"/>
          <w:color w:val="auto"/>
        </w:rPr>
        <w:t>Secretary of State for the State of New York. Mr. Daniels holds a B.S. in Economics, Political Science and Broadcast Journalism from Southern Illinois University, Carbondale.</w:t>
      </w:r>
    </w:p>
    <w:p>
      <w:pPr>
        <w:spacing w:after="0" w:line="5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Mr. Daniels is a valuable member of our Board because of his significant experience in the real estate industry and his knowledge and experience in internal and external risk oversight.</w:t>
      </w:r>
    </w:p>
    <w:p>
      <w:pPr>
        <w:spacing w:after="0" w:line="5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Justin M. Murphy </w:t>
      </w:r>
      <w:r>
        <w:rPr>
          <w:rFonts w:ascii="Times New Roman" w:cs="Times New Roman" w:eastAsia="Times New Roman" w:hAnsi="Times New Roman"/>
          <w:sz w:val="18"/>
          <w:szCs w:val="18"/>
          <w:color w:val="auto"/>
        </w:rPr>
        <w:t>has served as an Independent Director since June 2022. Mr. Murphy has served as an independent counsel member for Prologis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Targeted U.S. Logistics Fund, L.P., an industrial real estate investments fund focused on core investments in the United States since January 2013. From September 1999 to June 2012, Mr. Murphy was a Managing Director of JPMIM, where he served as a portfolio manager of an open-end, value-added real estate fund managed by a J.P. Morgan affiliate from 2007 to 2012 and on Real Estate Americas’ Real Estate Acquisitions and Dispositions team from 1993 to 2006. Prior to working at JPMAM, Mr. Murphy was a commercial real estate appraiser from July 1992 to September 1993. Mr. Murphy holds a B.S. in Real Estate and Urban Economic Studies from the University of Connecticut.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Murphy is a valuable member of our Board because of his extensive experience with real estate investments.</w:t>
      </w:r>
    </w:p>
    <w:p>
      <w:pPr>
        <w:spacing w:after="0" w:line="11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Yvonne D. Nelson </w:t>
      </w:r>
      <w:r>
        <w:rPr>
          <w:rFonts w:ascii="Times New Roman" w:cs="Times New Roman" w:eastAsia="Times New Roman" w:hAnsi="Times New Roman"/>
          <w:sz w:val="18"/>
          <w:szCs w:val="18"/>
          <w:color w:val="auto"/>
        </w:rPr>
        <w:t>has served as an Independent Director since June 2022. Ms. Nelson served in various roles at the New York City Comptroller, Bureau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Asset Management from February 2005 to her retirement in August 2021. From 2008 to 2021, she served as Head of Real Estate and investment advisor to five New York City pension systems with a joint allocation of nearly $20 billion to separate core and non-core real estate investment programs. From 2005 to 2008, Ms. Nelson was a senior real estate investment officer where her primary responsibility was the underwriting of new investment opportunities as well as the preservation of capital for existing investments. Before joining the Bureau of Asset Management, Ms. Nelson was Vice President of The Community Development Trust, a private REIT that provides debt and equity capital to create and preserve affordable rental housing throughout the United States, from September 2002 to January 2005. From 2017 to 2025, Ms. Nelson served as Secretary and a member of the Audit Committee and Grants Committee of the Pension Real Estate Association (PREA) Foundation, a nonprofit organization that fosters the inclusion of under-represented groups in commercial real estate. Ms. Nelson also served on the board of PREA from 2010 to 2016, including as Chair from 2014 to 2015. She was also a member of PREA Institutional Investor Council from 2017 to 2021. Since 2022, Ms. Nelson has served as an Independent Advisory Board member for a private industrial real estate fund and as an Independent Trustee of a private real estate debt fund. Ms. Nelson holds a B.A. in Urban Design from New York University and an M.B.A. in Finance from Rutgers University.</w:t>
      </w:r>
    </w:p>
    <w:p>
      <w:pPr>
        <w:spacing w:after="0" w:line="8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Ms. Nelson is a valuable member of our Board because of her extensive institutional real estate investment experience and her experience serving as a board member of the PREA foundation.</w:t>
      </w:r>
    </w:p>
    <w:p>
      <w:pPr>
        <w:spacing w:after="0" w:line="5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L. Ramseyer </w:t>
      </w:r>
      <w:r>
        <w:rPr>
          <w:rFonts w:ascii="Times New Roman" w:cs="Times New Roman" w:eastAsia="Times New Roman" w:hAnsi="Times New Roman"/>
          <w:sz w:val="18"/>
          <w:szCs w:val="18"/>
          <w:color w:val="auto"/>
        </w:rPr>
        <w:t>has served as an Independent Director since June 2022 and as our Lead Independent Director since November 2022. Following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retirement in 2008, Mr. Ramseyer has served as an advisor to numerous real estate investment management organizations focusing on refinement of investment and growth strategies. Mr. Ramseyer served as a Managing Director of Cornerstone Real Estate Advisers (“Cornerstone”) from January 2001 to March 2008, where he served as a member of the Investment Committee and Co-Manager of the Business Development Group. Prior to joining Cornerstone, Mr. Ramseyer was a Managing Director at Heitman and Chairman of its real estate securities group. Mr. Ramseyer has extensive experience in the institutional real estate management business beginning as a Co-Founder of Pension Realty Advisors, an investment consulting firm which provided real estate advisory services to institutional investors including corporate pension plans, public employee retirement systems, endowments and foundations. Mr. Ramseyer is a member of the Counselors of Real Estate, where he served as Chairman in 2003. He also served as Chairman of PREA in 1990. Mr. Ramseyer holds a B.A. in Business Administration from the University of Puget Sound and completed the Advanced Management Program at the Harvard Business School.</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Ramseyer is a valuable member of our Board because of his extensive experience in the real estate industry.</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2" w:right="359" w:bottom="1440" w:gutter="0" w:footer="0" w:header="0"/>
        </w:sectPr>
      </w:pPr>
    </w:p>
    <w:bookmarkStart w:id="12" w:name="page13"/>
    <w:bookmarkEnd w:id="12"/>
    <w:p>
      <w:pPr>
        <w:ind w:right="900" w:firstLine="910"/>
        <w:spacing w:after="0" w:line="417" w:lineRule="auto"/>
        <w:rPr>
          <w:sz w:val="20"/>
          <w:szCs w:val="20"/>
          <w:color w:val="auto"/>
        </w:rPr>
      </w:pPr>
      <w:r>
        <w:rPr>
          <w:rFonts w:ascii="Times New Roman" w:cs="Times New Roman" w:eastAsia="Times New Roman" w:hAnsi="Times New Roman"/>
          <w:sz w:val="18"/>
          <w:szCs w:val="18"/>
          <w:b w:val="1"/>
          <w:bCs w:val="1"/>
          <w:color w:val="auto"/>
        </w:rPr>
        <w:t>THE BOARD UNANIMOUSLY RECOMMENDS THAT YOU VOTE “FOR” EACH OF THE DIRECTOR NOMINEES. Risk Oversight and Board Structure</w:t>
      </w: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operate under the direction of the Board. The role of the Board is to provide general oversight of our business affairs and to exercise all of our powers except those reserved for the stockholders. The responsibilities of the Board also include oversight of our investment activities, our financing arrangements and corporate governance activities.</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charter and corporate governance guidelines require a majority of the members of our Board to be “independent” directors. Our audit committee charter also requires that all members of our audit committee (the “Audit Committee”) be independent. Based upon its review, our Board determined that each of Randy A. Daniels, Justin M. Murphy, Yvonne D. Nelson and William L. Ramseyer are “independent” members of our Board under our charter and the applicable rules of the SEC and the listing standards of the New York Stock Exchange, including with respect to their committee service on our Audit Committee.</w:t>
      </w:r>
    </w:p>
    <w:p>
      <w:pPr>
        <w:spacing w:after="0" w:line="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Under our charter, a majority of our directors must be independent directors, except for a period of up to 60 days after the death, removal or resignation of an independent director pending the election of a successor independent director. Consistent with the NASAA REIT Guidelines, our charter, which is available on our website at www.jpmreit.com, defines an independent director as a director who is not and has not for the last two years been associated, directly or indirectly, with J.P. Morgan or the Adviser. A director is deemed to be associated with J.P. Morgan or the Adviser if he or she owns any interest in, is employed by, is an officer or director of, or has any material business or professional relationship with J.P. Morgan, the Adviser or any of their affiliates, performs services (other than as a director) for us, or serves as a director or trustee for more than three REITs sponsored by J.P. Morgan or advised by the Adviser. A business or professional relationship will be deemed material per se if the gross income derived by the director from J.P. Morgan, the Adviser or any of their affiliates exceeds 5% of (1) the director’s annual gross income derived from all sources during either of the last two years or (2) the director’s net worth on a fair market value basis. An indirect relationship is defined to include circumstances in which the director’s spouse, parents, children, siblings, mothers- or fathers-in-law, sons- or daughters-in-law or brothers- or sisters-in-law is or has been associated with us, J.P. Morgan, the Adviser or any of their affiliates. Our charter requires that a director have at least three years of relevant experience demonstrating the knowledge required to successfully acquire and manage the type of assets that we intend to acquire. Our charter also requires that at all times at least one of our independent directors must have at least three years of relevant real estate experience.</w:t>
      </w:r>
    </w:p>
    <w:p>
      <w:pPr>
        <w:spacing w:after="0" w:line="7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considering each director and the composition of the Board as a whole, the Board seeks a diverse group of experiences, characteristics, attributes and skills, including diversity in gender, ethnicity and race, which the Board believes enables a director to make a significant contribution to us, the Board and our stockholders. These experiences, characteristics, attributes and skills include management experience, independence, financial expertise and experience serving as directors of other entities. Our Board may also consider such other experiences, characteristics, attributes and skills as it deems appropriate, given the then-current needs of ours and the Board’s.</w:t>
      </w:r>
    </w:p>
    <w:p>
      <w:pPr>
        <w:spacing w:after="0" w:line="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These experiences, characteristics, attributes and skills relate directly to our management and operations. Success in each of these categories is a key factor in our overall operational success and creating stockholder value. Our Board believes that directors who possess these experiences, characteristics, attributes and skills are better able to provide oversight of our management and our long-term and strategic objectives.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Board’s Role in Risk Oversight</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Through its direct oversight role, and indirectly through its committees, the Board performs a risk oversight function for us consisting of, among other things, the following activities:</w:t>
      </w:r>
    </w:p>
    <w:p>
      <w:pPr>
        <w:spacing w:after="0" w:line="54" w:lineRule="exact"/>
        <w:rPr>
          <w:sz w:val="20"/>
          <w:szCs w:val="20"/>
          <w:color w:val="auto"/>
        </w:rPr>
      </w:pPr>
    </w:p>
    <w:p>
      <w:pPr>
        <w:ind w:left="1500" w:right="20" w:hanging="690"/>
        <w:spacing w:after="0" w:line="282" w:lineRule="auto"/>
        <w:tabs>
          <w:tab w:leader="none" w:pos="11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regular and special Board meetings, and on an ad hoc basis as needed, receiving and reviewing reports related to our performance and operations;</w:t>
      </w:r>
    </w:p>
    <w:p>
      <w:pPr>
        <w:spacing w:after="0" w:line="53" w:lineRule="exact"/>
        <w:rPr>
          <w:rFonts w:ascii="Times New Roman" w:cs="Times New Roman" w:eastAsia="Times New Roman" w:hAnsi="Times New Roman"/>
          <w:sz w:val="18"/>
          <w:szCs w:val="18"/>
          <w:color w:val="auto"/>
        </w:rPr>
      </w:pPr>
    </w:p>
    <w:p>
      <w:pPr>
        <w:ind w:left="1500" w:right="40" w:hanging="690"/>
        <w:spacing w:after="0" w:line="282" w:lineRule="auto"/>
        <w:tabs>
          <w:tab w:leader="none" w:pos="11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as applicable, our compliance policies and procedures, including our valuation guidelines to be used in connection with the calculation of our net asset value (“NAV”);</w:t>
      </w:r>
    </w:p>
    <w:p>
      <w:pPr>
        <w:spacing w:after="0" w:line="53" w:lineRule="exact"/>
        <w:rPr>
          <w:rFonts w:ascii="Times New Roman" w:cs="Times New Roman" w:eastAsia="Times New Roman" w:hAnsi="Times New Roman"/>
          <w:sz w:val="18"/>
          <w:szCs w:val="18"/>
          <w:color w:val="auto"/>
        </w:rPr>
      </w:pPr>
    </w:p>
    <w:p>
      <w:pPr>
        <w:ind w:left="1500" w:right="40" w:hanging="690"/>
        <w:spacing w:after="0" w:line="282" w:lineRule="auto"/>
        <w:tabs>
          <w:tab w:leader="none" w:pos="11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with the portfolio management team to review investment strategies and techniques and the processes used to manage related risks; and</w:t>
      </w:r>
    </w:p>
    <w:p>
      <w:pPr>
        <w:spacing w:after="0" w:line="53" w:lineRule="exact"/>
        <w:rPr>
          <w:rFonts w:ascii="Times New Roman" w:cs="Times New Roman" w:eastAsia="Times New Roman" w:hAnsi="Times New Roman"/>
          <w:sz w:val="18"/>
          <w:szCs w:val="18"/>
          <w:color w:val="auto"/>
        </w:rPr>
      </w:pPr>
    </w:p>
    <w:p>
      <w:pPr>
        <w:ind w:left="1500" w:hanging="690"/>
        <w:spacing w:after="0" w:line="258" w:lineRule="auto"/>
        <w:tabs>
          <w:tab w:leader="none" w:pos="11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with, or reviewing reports prepared by, the representatives of key service providers, including the Adviser, any sub-adviser, dealer manager, transfer agent and independent registered public accounting firm, to review and discuss our activities and to provide direction with respect thereto. Our Board has established and will review written policies on investments and borrowings consistent with our investment objectives and will monitor our policies and procedures to ensure that such policies and procedures are carried out.</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Board Composition and Leadership Structure</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Mr. Tredway serves as both our Chief Executive Officer and Chairperson of the Board. Our Board believes that Mr. Tredway, as our Chief Executive Officer, is the director with the most knowledge of our business strategy and is best situated to serve as Chairperson of the Board. As discussed above, our bylaws and charter require that a majority of the Board consist of persons other than “interested persons.” Mr. Ramseyer serves as our lead independent director and is responsible for, among other things, presiding at executive sessions of independent directors, facilitating communications between the independent directors and the Chief Executive Officer, and calling meetings of the independent directors, as necessary. Our Board, after considering various factors, has concluded that its structure is appropriate given our current size and complexity.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Meetings and Attendance</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Board met four times during the fiscal year ended December 31, 2025. Each director attended at least seventy-five percent (75%) of the aggregate of the total number of meetings held by the Board during 2025 and the total number of meetings of committees on which he or she served during 2025 in which he or she served as a director or member of such committee, as applicable.</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do not have a formal policy regarding director attendance at an annual meeting of stockholders, but invite and encourage all directors to attend. We make every effort to schedule our annual meeting of stockholders at a time and date to permit attendance by directors, taking into account the directors’ schedules and the timing requirements of applicable law. A quorum was not achieved for our 2025 annual meeting of stockholders and all of our directors virtually attended the meeting.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Board has established one standing committee of the Board, the Audit Committee. Our Board has not established a standing compensation committee because our executive officers do not receive any direct compensation from us. Our Board, as a whole, participates in the consideration of director compensation and decisions on director compensation are based on, among other things, a review of data of comparable REITs. Our Board has not established a standing nominating committee because our entire Board participates in the consideration of director nominees.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Board has established an Audit Committee, which consists of Randy A. Daniels, Justin M. Murphy, William L. Ramseyer and Yvonne D. Nelson. Mr. Daniels serves as the chairperson of the Audit Committee and qualifies as an “audit committee financial expert” as that term is defined by the SEC. The SEC has determined that the audit committee financial expert designation does not impose on a person with that designation any duties, obligations or liability that are greater than the duties, obligations or liability imposed on such person as a member of the Audit Committee of the Board in the absence of such designation. The Audit Committee assists the Board in overseeing:</w:t>
      </w:r>
    </w:p>
    <w:p>
      <w:pPr>
        <w:spacing w:after="0" w:line="75" w:lineRule="exact"/>
        <w:rPr>
          <w:sz w:val="20"/>
          <w:szCs w:val="20"/>
          <w:color w:val="auto"/>
        </w:rPr>
      </w:pPr>
    </w:p>
    <w:p>
      <w:pPr>
        <w:ind w:left="1180" w:hanging="370"/>
        <w:spacing w:after="0"/>
        <w:tabs>
          <w:tab w:leader="none" w:pos="1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and financial reporting processes;</w:t>
      </w:r>
    </w:p>
    <w:p>
      <w:pPr>
        <w:spacing w:after="0" w:line="117" w:lineRule="exact"/>
        <w:rPr>
          <w:rFonts w:ascii="Times New Roman" w:cs="Times New Roman" w:eastAsia="Times New Roman" w:hAnsi="Times New Roman"/>
          <w:sz w:val="18"/>
          <w:szCs w:val="18"/>
          <w:color w:val="auto"/>
        </w:rPr>
      </w:pPr>
    </w:p>
    <w:p>
      <w:pPr>
        <w:ind w:left="1180" w:hanging="370"/>
        <w:spacing w:after="0"/>
        <w:tabs>
          <w:tab w:leader="none" w:pos="1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integrity and audits of our financial statements;</w:t>
      </w:r>
    </w:p>
    <w:p>
      <w:pPr>
        <w:spacing w:after="0" w:line="117" w:lineRule="exact"/>
        <w:rPr>
          <w:rFonts w:ascii="Times New Roman" w:cs="Times New Roman" w:eastAsia="Times New Roman" w:hAnsi="Times New Roman"/>
          <w:sz w:val="18"/>
          <w:szCs w:val="18"/>
          <w:color w:val="auto"/>
        </w:rPr>
      </w:pPr>
    </w:p>
    <w:p>
      <w:pPr>
        <w:ind w:left="1180" w:hanging="370"/>
        <w:spacing w:after="0"/>
        <w:tabs>
          <w:tab w:leader="none" w:pos="1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w:t>
      </w:r>
    </w:p>
    <w:p>
      <w:pPr>
        <w:spacing w:after="0" w:line="117" w:lineRule="exact"/>
        <w:rPr>
          <w:rFonts w:ascii="Times New Roman" w:cs="Times New Roman" w:eastAsia="Times New Roman" w:hAnsi="Times New Roman"/>
          <w:sz w:val="18"/>
          <w:szCs w:val="18"/>
          <w:color w:val="auto"/>
        </w:rPr>
      </w:pPr>
    </w:p>
    <w:p>
      <w:pPr>
        <w:ind w:left="1180" w:hanging="370"/>
        <w:spacing w:after="0"/>
        <w:tabs>
          <w:tab w:leader="none" w:pos="1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qualifications and independence of our independent auditors;</w:t>
      </w:r>
    </w:p>
    <w:p>
      <w:pPr>
        <w:spacing w:after="0" w:line="117" w:lineRule="exact"/>
        <w:rPr>
          <w:rFonts w:ascii="Times New Roman" w:cs="Times New Roman" w:eastAsia="Times New Roman" w:hAnsi="Times New Roman"/>
          <w:sz w:val="18"/>
          <w:szCs w:val="18"/>
          <w:color w:val="auto"/>
        </w:rPr>
      </w:pPr>
    </w:p>
    <w:p>
      <w:pPr>
        <w:ind w:left="1180" w:hanging="370"/>
        <w:spacing w:after="0"/>
        <w:tabs>
          <w:tab w:leader="none" w:pos="1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internal and independent auditors; and</w:t>
      </w:r>
    </w:p>
    <w:p>
      <w:pPr>
        <w:spacing w:after="0" w:line="117" w:lineRule="exact"/>
        <w:rPr>
          <w:rFonts w:ascii="Times New Roman" w:cs="Times New Roman" w:eastAsia="Times New Roman" w:hAnsi="Times New Roman"/>
          <w:sz w:val="18"/>
          <w:szCs w:val="18"/>
          <w:color w:val="auto"/>
        </w:rPr>
      </w:pPr>
    </w:p>
    <w:p>
      <w:pPr>
        <w:ind w:left="1180" w:hanging="370"/>
        <w:spacing w:after="0"/>
        <w:tabs>
          <w:tab w:leader="none" w:pos="1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cybersecurity matters.</w:t>
      </w:r>
    </w:p>
    <w:p>
      <w:pPr>
        <w:spacing w:after="0" w:line="18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addition, the Audit Committee selects the independent auditors to audit our annual financial statements and reviews with the independent auditors the plans and results of the audit engagement. The Audit Committee also approves the audit and non-audit services provided by the independent public accountants and the fees we pay for these services.</w:t>
      </w:r>
    </w:p>
    <w:p>
      <w:pPr>
        <w:spacing w:after="0" w:line="68"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Audit Committee has adopted procedures for the processing of complaints relating to accounting, internal control and auditing matters. The Audit Committee oversees the review and handling of any complaints submitted pursuant to the foregoing procedures and of any whistleblower complaints subject to Section 21F of the Exchange Act.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Charter is available on our website at www.jpmreit.com/stockholders</w:t>
      </w:r>
      <w:r>
        <w:rPr>
          <w:rFonts w:ascii="Times New Roman" w:cs="Times New Roman" w:eastAsia="Times New Roman" w:hAnsi="Times New Roman"/>
          <w:sz w:val="18"/>
          <w:szCs w:val="18"/>
          <w:u w:val="single" w:color="auto"/>
          <w:color w:val="auto"/>
        </w:rPr>
        <w: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Between Stockholders and the Board</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Board welcomes communications from our stockholders. Stockholders may send communications to the Board or to any particular director at the following address: J.P. Morgan Real Estate Income Trust, Inc., 390 Madison Avenue, New York, New York 10017. Stockholders should indicate clearly the director or directors to whom the communication is being sent so that each communication may be forwarded directly to the appropriate director(s).</w:t>
      </w:r>
    </w:p>
    <w:p>
      <w:pPr>
        <w:spacing w:after="0" w:line="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38" w:right="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Hedging Policy</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Board has not adopted, and we do not have, any specific practices or policies regarding the ability of our officers, our directors, the employees of the Adviser or its affiliates, or any of their respective designees, to purchase financial instruments (including prepaid variable forward contracts, equity swaps, collars and exchange funds) or otherwise engage in transactions that hedge or offset, or are designed to hedge or offset, any decrease in the market value of our equity securities.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table and biographical information set forth certain information regarding our executive officers. Mr. Tredway’s biographical information is provided in the section “Information about Director Nominees.” Each executive officer holds office until his or her successor is chosen and qualifies, or until earlier resignation or removal.</w:t>
      </w:r>
    </w:p>
    <w:p>
      <w:pPr>
        <w:spacing w:after="0" w:line="64"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0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rPr>
              <w:t>Age*</w:t>
            </w:r>
          </w:p>
        </w:tc>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76"/>
        </w:trPr>
        <w:tc>
          <w:tcPr>
            <w:tcW w:w="30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6020" w:type="dxa"/>
            <w:vAlign w:val="bottom"/>
            <w:tcBorders>
              <w:bottom w:val="single" w:sz="8" w:color="auto"/>
            </w:tcBorders>
          </w:tcPr>
          <w:p>
            <w:pPr>
              <w:spacing w:after="0"/>
              <w:rPr>
                <w:sz w:val="15"/>
                <w:szCs w:val="15"/>
                <w:color w:val="auto"/>
              </w:rPr>
            </w:pPr>
          </w:p>
        </w:tc>
      </w:tr>
      <w:tr>
        <w:trPr>
          <w:trHeight w:val="228"/>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Chad Tredway</w:t>
            </w:r>
          </w:p>
        </w:tc>
        <w:tc>
          <w:tcPr>
            <w:tcW w:w="16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41</w:t>
            </w:r>
          </w:p>
        </w:tc>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Chairperson of the Board and Chief Executive Officer</w:t>
            </w:r>
          </w:p>
        </w:tc>
      </w:tr>
      <w:tr>
        <w:trPr>
          <w:trHeight w:val="37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Douglas A. Schwartz</w:t>
            </w:r>
          </w:p>
        </w:tc>
        <w:tc>
          <w:tcPr>
            <w:tcW w:w="16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55</w:t>
            </w:r>
          </w:p>
        </w:tc>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Co-President</w:t>
            </w:r>
          </w:p>
        </w:tc>
      </w:tr>
      <w:tr>
        <w:trPr>
          <w:trHeight w:val="39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Dave S. Esrig</w:t>
            </w:r>
          </w:p>
        </w:tc>
        <w:tc>
          <w:tcPr>
            <w:tcW w:w="16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60</w:t>
            </w:r>
          </w:p>
        </w:tc>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Co-President</w:t>
            </w:r>
          </w:p>
        </w:tc>
      </w:tr>
      <w:tr>
        <w:trPr>
          <w:trHeight w:val="39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Lawrence A. Goodfield, Jr.</w:t>
            </w:r>
          </w:p>
        </w:tc>
        <w:tc>
          <w:tcPr>
            <w:tcW w:w="16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47</w:t>
            </w:r>
          </w:p>
        </w:tc>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391"/>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Christian P. Porwoll</w:t>
            </w:r>
          </w:p>
        </w:tc>
        <w:tc>
          <w:tcPr>
            <w:tcW w:w="16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59</w:t>
            </w:r>
          </w:p>
        </w:tc>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Secretary</w:t>
            </w:r>
          </w:p>
        </w:tc>
      </w:tr>
      <w:tr>
        <w:trPr>
          <w:trHeight w:val="39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J. Scott Napier</w:t>
            </w:r>
          </w:p>
        </w:tc>
        <w:tc>
          <w:tcPr>
            <w:tcW w:w="16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56</w:t>
            </w:r>
          </w:p>
        </w:tc>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Vice President – Head of Investor Relations</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1, 2026.</w:t>
      </w:r>
    </w:p>
    <w:p>
      <w:pPr>
        <w:spacing w:after="0" w:line="11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Douglas A. Schwartz </w:t>
      </w:r>
      <w:r>
        <w:rPr>
          <w:rFonts w:ascii="Times New Roman" w:cs="Times New Roman" w:eastAsia="Times New Roman" w:hAnsi="Times New Roman"/>
          <w:sz w:val="18"/>
          <w:szCs w:val="18"/>
          <w:color w:val="auto"/>
        </w:rPr>
        <w:t>has served as our Co-President since June 2022. Mr. Schwartz has been a Managing Director of JPMIM since April 2010 and joined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J.P. Morgan in August 2004. Most recently, Mr. Schwartz served as Chief Investment Officer at JPMAM – Real Estate Americas, where he was responsible for all transactions and asset management. He is a voting member of the Real Estate Americas Investment Committees and non-voting member of the Management Committee and Risk and Oversight Committee. From June 2012 to December 2016, Mr. Schwartz was portfolio manager of an open-end, value-added real estate fund managed by a J.P. Morgan affiliate. From June 2008 to June 2012, Mr. Schwartz was Head of West Coast Real Estate Acquisitions, where he was responsible for sourcing, underwriting and closing office, industrial, retail and multi-family transactions. Before joining J.P. Morgan in 2004, Mr. Schwartz held real estate investment roles with Lowe Enterprises, Bristol Group and Sedway &amp; Associates. Mr. Schwartz is a former Director of Carr Properties and Edens Investment Trust. He is an ambassador for J.P. Morgan’s Women-On-The-Move Program and an active member in Urban Land Institute (“ULI”), including acting as former ULI Industrial and Office Park Development Council Chair. Mr. Schwartz holds a B.A. in Mathematics from the University of Pennsylvania and an M.B.A. from the University of California, Los Angeles.</w:t>
      </w:r>
    </w:p>
    <w:p>
      <w:pPr>
        <w:spacing w:after="0" w:line="7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Dave S. Esrig </w:t>
      </w:r>
      <w:r>
        <w:rPr>
          <w:rFonts w:ascii="Times New Roman" w:cs="Times New Roman" w:eastAsia="Times New Roman" w:hAnsi="Times New Roman"/>
          <w:sz w:val="18"/>
          <w:szCs w:val="18"/>
          <w:color w:val="auto"/>
        </w:rPr>
        <w:t>has served as our Co-President since June 2022. Mr. Esrig has been a Managing Director of JPMIM since April 2007. Since joining J.P.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Morgan in March 1997, Mr. Esrig has served as Director of Research and Data Science at JPMAM – Real Estate Americas where he leads Real Estate Americas’ effort to generate investment insights from J.P. Morgan’s proprietary data as well as designed, founded and launched J.P. Morgan Asset Management’s industry-leading suite of defined contribution direct property strategies. Mr. Esrig is a member of the Real Estate Americas’ Management Committee and a voting member of the Real Estate Americas Investment Committees and the J.P. Morgan Infrastructure Investments Group Investment Committee. Mr. Esrig holds a B.A. in Economics and History from the University of Virginia and an M.A. in Economics from the University of Pennsylvania. Mr. Esrig holds the Chartered Financial Analyst</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(CFA</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designation.</w:t>
      </w:r>
    </w:p>
    <w:p>
      <w:pPr>
        <w:spacing w:after="0" w:line="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Lawrence A. Goodfield, Jr. </w:t>
      </w:r>
      <w:r>
        <w:rPr>
          <w:rFonts w:ascii="Times New Roman" w:cs="Times New Roman" w:eastAsia="Times New Roman" w:hAnsi="Times New Roman"/>
          <w:sz w:val="18"/>
          <w:szCs w:val="18"/>
          <w:color w:val="auto"/>
        </w:rPr>
        <w:t>has served as our Chief Financial Officer and Treasurer since June 2022. Mr. Goodfield has been a Managing Director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JPMIM since January 2022 and is a non-voting member of the Real Estate Americas Investment Committees. Prior to joining J.P. Morgan, Mr. Goodfield served in various roles at Drive Shack Inc. (NYSE: DS) (formerly Newcastle Investment Corp. (NYSE:NCT)), a real estate-related investment and finance company (“Drive Shack”), including as Chief Accounting Officer and Treasurer (September 2016 – January 2022), Interim Chief Financial Officer (March 2020 – September 2020) and Chief Financial Officer (September 2016 – November 2018). During his time at Drive Shack, Mr. Goodfield led its financial evaluation and transition from external to internal management, as well as oversaw finance and accounting, tax, investor relations and capital markets. From September 2016 to January 2018, Mr. Goodfield was a Managing Director at Fortress Investment Group (“Fortress”). Prior to joining Fortress, Mr. Goodfield served as Senior Vice President and Controller at W.P. Carey Inc. (NYSE: WPC) from January 2016 to September 2016, where he was responsible for directing accounting, financial reporting and internal controls. Mr. Goodfield also served as a Senior Manager in the audit</w:t>
      </w: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38" w:right="379" w:bottom="1440" w:gutter="0" w:footer="0" w:header="0"/>
        </w:sectPr>
      </w:pPr>
    </w:p>
    <w:bookmarkStart w:id="15" w:name="page16"/>
    <w:bookmarkEnd w:id="15"/>
    <w:p>
      <w:pPr>
        <w:ind w:right="240"/>
        <w:spacing w:after="0" w:line="266" w:lineRule="auto"/>
        <w:rPr>
          <w:sz w:val="20"/>
          <w:szCs w:val="20"/>
          <w:color w:val="auto"/>
        </w:rPr>
      </w:pPr>
      <w:r>
        <w:rPr>
          <w:rFonts w:ascii="Times New Roman" w:cs="Times New Roman" w:eastAsia="Times New Roman" w:hAnsi="Times New Roman"/>
          <w:sz w:val="18"/>
          <w:szCs w:val="18"/>
          <w:color w:val="auto"/>
        </w:rPr>
        <w:t>and advisory practices, with a specialization in real estate, at PricewaterhouseCoopers from 2001 to December 2015. Mr. Goodfield, a Certified Public Accountant, holds a B.S. in Accounting from Pennsylvania State University and is also a member of its Real Estate Advisory Board. Mr. Goodfield also holds the Chartered Financial Analyst</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(CFA</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designation.</w:t>
      </w:r>
    </w:p>
    <w:p>
      <w:pPr>
        <w:spacing w:after="0" w:line="6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Christian P. Porwoll </w:t>
      </w:r>
      <w:r>
        <w:rPr>
          <w:rFonts w:ascii="Times New Roman" w:cs="Times New Roman" w:eastAsia="Times New Roman" w:hAnsi="Times New Roman"/>
          <w:sz w:val="18"/>
          <w:szCs w:val="18"/>
          <w:color w:val="auto"/>
        </w:rPr>
        <w:t>has served as our Secretary since November 2021. Mr. Porwoll has been a Managing Director of JPMIM since April 2015.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joining J.P. Morgan in January 2008, Mr. Porwoll served as the Head of Product Development-Americas for J.P. Morgan’s Global Real Assets platform, and since May 2017, as Head of Product Development-Americas for J.P. Morgan’s GRE and Global Transportation platforms, where he is responsible for assisting in the development and administration of its real estate and transportation equity and debt strategies. He is involved in strategy analysis, structuring, client negotiation, implementation and maintenance of real asset and real asset-related investment strategies through the entire investment strategy life cycle, including investment acquisition, asset management and disposition processes. Before joining J.P. Morgan in January 2008, Mr. Porwoll was an attorney in the investment company and corporate departments of a large Wall Street law firm. Mr. Porwoll holds a B.A. in Political Science from Columbia College at Columbia University and a J.D. from Fordham Law School at Fordham University.</w:t>
      </w:r>
    </w:p>
    <w:p>
      <w:pPr>
        <w:spacing w:after="0" w:line="77"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J. Scott Napier </w:t>
      </w:r>
      <w:r>
        <w:rPr>
          <w:rFonts w:ascii="Times New Roman" w:cs="Times New Roman" w:eastAsia="Times New Roman" w:hAnsi="Times New Roman"/>
          <w:sz w:val="17"/>
          <w:szCs w:val="17"/>
          <w:color w:val="auto"/>
        </w:rPr>
        <w:t>has served as our Senior Vice President – Head of Investor Relations since March 2024. In his role, Mr. Napier leads a team of investment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specialists focused on advising clients on real estate strategies and execution. Prior to joining J.P. Morgan in August 2022, Mr. Napier was Senior Vice President, Head of Intermediary Distribution at Heitman LLC, where he led distribution, product development and operations for the Wealth Management business from May 2018 to August 2022. Mr. Napier has also held senior leadership roles at Invesco and Oppenheimer Funds. Mr. Napier is on the Board of the Institute for Portfolio Alternatives and holds the Certified Investment Management Analyst (CIMA) designation. Mr. Napier maintains the Series 7, 66, 63 and 24 FINRA licenses and received an M.B.A. from Emory University Goizueta School of Business and a B.A. from The University of Texas.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Non-Executive Officer</w:t>
      </w:r>
    </w:p>
    <w:p>
      <w:pPr>
        <w:spacing w:after="0" w:line="11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R. Gordon </w:t>
      </w:r>
      <w:r>
        <w:rPr>
          <w:rFonts w:ascii="Times New Roman" w:cs="Times New Roman" w:eastAsia="Times New Roman" w:hAnsi="Times New Roman"/>
          <w:sz w:val="18"/>
          <w:szCs w:val="18"/>
          <w:color w:val="auto"/>
        </w:rPr>
        <w:t>has served as our Vice President - Head of Data Science and Operations since June 2022. Mr. Gordon is also a senior member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Real Estate Research and Data Science team at Real Estate Americas. He creates interactive analytical tools and models based on JPMIM’s proprietary set of big data for real estate investment decision-making purposes. He previously designed and ran portfolio management models for Real Estate Americas’ series of daily-valued direct property strategies. Mr. Gordon is also a voting member of the Real Estate Americas Investment Committee. Before joining J.P. Morgan in April 2011, Mr. Gordon worked at Morgan Stanley. He holds a B.S. in Finance and Accounting from Lehigh University and the Chartered Financial Analyst</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(CFA</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designation.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directors and executive officers, including our principal executive officer, principal financial officer and principal accounting officer, or persons performing similar functions. Our Code of Business Conduct and Ethics, as it relates to those also covered by J.P. Morgan’s code of conduct, operates in conjunction with, and in addition to, J.P. Morgan’s code of conduct. Our Code of Business Conduct and Ethics is designed to comply with SEC regulations relating to codes of conduct and ethics. Our Code of Business Conduct and Ethics is designed to comply with SEC regulations relating to codes of conduct and ethics and is available on our website at www.jpmreit.com/stockholders.</w:t>
      </w:r>
    </w:p>
    <w:p>
      <w:pPr>
        <w:spacing w:after="0" w:line="7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Any waiver of the Code of Business Conduct and Ethics may be made only by the Board or the Audit Committee and will be promptly disclosed as required by law. Any modifications to the Code of Business Conduct and Ethics will be reflected on our website.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2"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We have also adopted Corporate Governance Guidelines to advance the functioning of our Board and its committees and to set forth our Board’s expectations as to how our directors should perform their respective functions. Our Corporate Governance Guidelines are available on our website at www.jpmreit.com/stockholders.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an insider trading policy governing the purchase, sale, repurchase and other dispositions of our securities that applies to our directors, the Adviser, our employees (if any), all employees of the Adviser who provide services to the Adviser related to us, including our officers, and other covered persons. We believe that our insider trading policy is reasonably designed to promote compliance with insider trading laws, rules and regulations applicable to us. A copy of the Insider Trading Policy is filed as Exhibit 19.1 to our Annual Report on Form 10-K.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not subject to Section 16(a) of the Exchange Act during fiscal year 2025.</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8" w:right="35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Independent Directors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compensate each of our independent directors with an annual retainer of $75,000, consisting of $50,000 paid in equal quarterly installments in cash or unrestricted Class E shares based on the most recent prior month’s NAV, or a combination thereof, at the election of the director, and $25,000 in the form of an annual grant of restricted stock. Effective July 1, 2026, we will compensate each of our independent directors with an annual retainer of $100,000, consisting of $62,500 paid in equal quarterly installments in cash or unrestricted Class E shares based on the most recent prior month’s NAV, or a combination thereof, at the election of the director, and $37,500 in the form of an annual grant of restricted stock. The restricted stock generally vests one year from the date of grant. In addition, the chairperson of the Audit Committee receives an additional annual cash retainer of $10,000. We do not intend to pay our directors additional fees for attending board meetings, but we reimburse each of our directors for reasonable out-of-pocket expenses incurred in attending board and committee meetings (including, but not limited to, airfare, hotel and food). Our directors who are affiliated with the Adviser or J.P. Morgan do not receive additional compensation for serving on the Board or committees thereof.</w:t>
      </w:r>
    </w:p>
    <w:p>
      <w:pPr>
        <w:spacing w:after="0" w:line="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Board has adopted a stock ownership policy for our independent directors in order to align our independent directors’ financial interests with those of our stockholders by requiring such directors to own a minimum level of our stock. Each of our independent directors is required to own shares in an amount equal to 2.5 times his or her annual cash retainer within five years of becoming subject to the policy.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compensation paid by us to our directors for the fiscal year ended December 31, 2025 ($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4"/>
                <w:szCs w:val="24"/>
                <w:color w:val="auto"/>
              </w:rPr>
            </w:pPr>
          </w:p>
        </w:tc>
        <w:tc>
          <w:tcPr>
            <w:tcW w:w="2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Fees Earned or Paid in Cash</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Stock Awards</w:t>
            </w:r>
            <w:r>
              <w:rPr>
                <w:rFonts w:ascii="Times New Roman" w:cs="Times New Roman" w:eastAsia="Times New Roman" w:hAnsi="Times New Roman"/>
                <w:sz w:val="24"/>
                <w:szCs w:val="24"/>
                <w:b w:val="1"/>
                <w:bCs w:val="1"/>
                <w:color w:val="auto"/>
                <w:vertAlign w:val="superscript"/>
              </w:rPr>
              <w:t>(1)</w:t>
            </w:r>
          </w:p>
        </w:tc>
        <w:tc>
          <w:tcPr>
            <w:tcW w:w="68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24"/>
                <w:szCs w:val="24"/>
                <w:color w:val="auto"/>
              </w:rPr>
            </w:pPr>
          </w:p>
        </w:tc>
      </w:tr>
      <w:tr>
        <w:trPr>
          <w:trHeight w:val="203"/>
        </w:trPr>
        <w:tc>
          <w:tcPr>
            <w:tcW w:w="2660" w:type="dxa"/>
            <w:vAlign w:val="bottom"/>
            <w:tcBorders>
              <w:top w:val="single" w:sz="8" w:color="CFF0FC"/>
            </w:tcBorders>
            <w:shd w:val="clear" w:color="auto" w:fill="CFF0FC"/>
          </w:tcPr>
          <w:p>
            <w:pPr>
              <w:spacing w:after="0" w:line="203" w:lineRule="exact"/>
              <w:rPr>
                <w:sz w:val="20"/>
                <w:szCs w:val="20"/>
                <w:color w:val="auto"/>
              </w:rPr>
            </w:pPr>
            <w:r>
              <w:rPr>
                <w:rFonts w:ascii="Times New Roman" w:cs="Times New Roman" w:eastAsia="Times New Roman" w:hAnsi="Times New Roman"/>
                <w:sz w:val="18"/>
                <w:szCs w:val="18"/>
                <w:color w:val="auto"/>
              </w:rPr>
              <w:t>Chad Tredway</w:t>
            </w:r>
          </w:p>
        </w:tc>
        <w:tc>
          <w:tcPr>
            <w:tcW w:w="1120" w:type="dxa"/>
            <w:vAlign w:val="bottom"/>
            <w:tcBorders>
              <w:top w:val="single" w:sz="8" w:color="CFF0FC"/>
            </w:tcBorders>
            <w:gridSpan w:val="2"/>
            <w:shd w:val="clear" w:color="auto" w:fill="CFF0FC"/>
          </w:tcPr>
          <w:p>
            <w:pPr>
              <w:ind w:left="2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CFF0FC"/>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2240" w:type="dxa"/>
            <w:vAlign w:val="bottom"/>
            <w:tcBorders>
              <w:top w:val="single" w:sz="8" w:color="CFF0FC"/>
            </w:tcBorders>
            <w:shd w:val="clear" w:color="auto" w:fill="CFF0FC"/>
          </w:tcPr>
          <w:p>
            <w:pPr>
              <w:jc w:val="right"/>
              <w:ind w:right="207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CFF0FC"/>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FF0FC"/>
            </w:tcBorders>
            <w:gridSpan w:val="2"/>
            <w:shd w:val="clear" w:color="auto" w:fill="CFF0FC"/>
          </w:tcPr>
          <w:p>
            <w:pPr>
              <w:jc w:val="right"/>
              <w:ind w:right="4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CFF0FC"/>
            </w:tcBorders>
            <w:gridSpan w:val="2"/>
            <w:shd w:val="clear" w:color="auto" w:fill="CFF0FC"/>
          </w:tcPr>
          <w:p>
            <w:pPr>
              <w:jc w:val="right"/>
              <w:ind w:right="200"/>
              <w:spacing w:after="0" w:line="203"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Randy A. Daniels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80" w:type="dxa"/>
            <w:vAlign w:val="bottom"/>
          </w:tcPr>
          <w:p>
            <w:pPr>
              <w:spacing w:after="0"/>
              <w:rPr>
                <w:sz w:val="18"/>
                <w:szCs w:val="18"/>
                <w:color w:val="auto"/>
              </w:rPr>
            </w:pPr>
          </w:p>
        </w:tc>
      </w:tr>
      <w:tr>
        <w:trPr>
          <w:trHeight w:val="216"/>
        </w:trPr>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Justin M. Murphy</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80" w:type="dxa"/>
            <w:vAlign w:val="bottom"/>
            <w:shd w:val="clear" w:color="auto" w:fill="CFF0FC"/>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Yvonne D. Nelson</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80" w:type="dxa"/>
            <w:vAlign w:val="bottom"/>
          </w:tcPr>
          <w:p>
            <w:pPr>
              <w:spacing w:after="0"/>
              <w:rPr>
                <w:sz w:val="18"/>
                <w:szCs w:val="18"/>
                <w:color w:val="auto"/>
              </w:rPr>
            </w:pPr>
          </w:p>
        </w:tc>
      </w:tr>
      <w:tr>
        <w:trPr>
          <w:trHeight w:val="216"/>
        </w:trPr>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William L. Ramseyer</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33,333</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41,667</w:t>
            </w: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8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-693420</wp:posOffset>
            </wp:positionV>
            <wp:extent cx="120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ind w:left="380" w:right="160" w:hanging="372"/>
        <w:spacing w:after="0" w:line="255" w:lineRule="auto"/>
        <w:tabs>
          <w:tab w:leader="none" w:pos="36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total value in restricted and unrestricted Class E shares awarded to each of our independent directors during 2025. The grants of Class E restricted shares were made on August 8, 2025 and vest on August 8, 2026. The restricted stock grants were valued based on a NAV per share of $11.11, the then-current NAV per share of our Class E shares.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are externally managed and currently have no employees. Our executive officers serve as officers of the Adviser and are employees of the Adviser or one or more of its affiliates. Our Advisory Agreement provides that the Adviser is responsible for managing our investment activities, and as such our executive officers do not receive any cash compensation from us or any of our subsidiaries for serving as our executive officers but, instead, receive compensation from the Adviser. In addition, we do not reimburse the Adviser for compensation it pays to our executive officers. The Advisory Agreement does not require our executive officers to dedicate a specific amount of time to fulfilling the Adviser’s obligations to us under the Advisory Agreement. Accordingly, the Adviser has informed us that it cannot identify the portion of the compensation it awards to our executive officers that relates solely to such executives’ services to us, as the Adviser does not compensate its employees specifically for such services. Furthermore, we do not have employment agreements with our executive officers, we do not provide pension or retirement benefits, perquisites or other personal benefits to our executive officers, our executive officers have not received any nonqualified deferred compensation and we do not have arrangements to make payments to our executive officers upon their termination or in the event of a change in control of us.</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securities authorized for issuance under our independent director restricted share plan as of December 31, 2025:</w:t>
      </w:r>
    </w:p>
    <w:p>
      <w:pPr>
        <w:sectPr>
          <w:pgSz w:w="11900" w:h="16838" w:orient="portrait"/>
          <w:cols w:equalWidth="0" w:num="1">
            <w:col w:w="11240"/>
          </w:cols>
          <w:pgMar w:left="320" w:top="1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7316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Equity compensation plans approved by the security holders</w:t>
      </w:r>
    </w:p>
    <w:p>
      <w:pPr>
        <w:ind w:right="320"/>
        <w:spacing w:after="0" w:line="255" w:lineRule="auto"/>
        <w:rPr>
          <w:sz w:val="20"/>
          <w:szCs w:val="20"/>
          <w:color w:val="auto"/>
        </w:rPr>
      </w:pPr>
      <w:r>
        <w:rPr>
          <w:rFonts w:ascii="Times New Roman" w:cs="Times New Roman" w:eastAsia="Times New Roman" w:hAnsi="Times New Roman"/>
          <w:sz w:val="18"/>
          <w:szCs w:val="18"/>
          <w:color w:val="auto"/>
        </w:rPr>
        <w:t>Equity compensation plans not approved by the security holders Total</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5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 Number of Securities to be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5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issued upon exercise of</w:t>
            </w:r>
          </w:p>
        </w:tc>
        <w:tc>
          <w:tcPr>
            <w:tcW w:w="120" w:type="dxa"/>
            <w:vAlign w:val="bottom"/>
          </w:tcPr>
          <w:p>
            <w:pPr>
              <w:spacing w:after="0"/>
              <w:rPr>
                <w:sz w:val="18"/>
                <w:szCs w:val="18"/>
                <w:color w:val="auto"/>
              </w:rPr>
            </w:pPr>
          </w:p>
        </w:tc>
        <w:tc>
          <w:tcPr>
            <w:tcW w:w="26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(b) Weighted-average exercise</w:t>
            </w:r>
          </w:p>
        </w:tc>
        <w:tc>
          <w:tcPr>
            <w:tcW w:w="2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 Number of securities remaining</w:t>
            </w:r>
          </w:p>
        </w:tc>
      </w:tr>
      <w:tr>
        <w:trPr>
          <w:trHeight w:val="216"/>
        </w:trPr>
        <w:tc>
          <w:tcPr>
            <w:tcW w:w="25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outstanding options, warrants,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price of outstanding options,</w:t>
            </w:r>
          </w:p>
        </w:tc>
        <w:tc>
          <w:tcPr>
            <w:tcW w:w="2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available for future issuance under</w:t>
            </w:r>
          </w:p>
        </w:tc>
      </w:tr>
      <w:tr>
        <w:trPr>
          <w:trHeight w:val="245"/>
        </w:trPr>
        <w:tc>
          <w:tcPr>
            <w:tcW w:w="250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and rights</w:t>
            </w: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warrants, and rights</w:t>
            </w:r>
          </w:p>
        </w:tc>
        <w:tc>
          <w:tcPr>
            <w:tcW w:w="294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equity compensation plans</w:t>
            </w:r>
          </w:p>
        </w:tc>
      </w:tr>
      <w:tr>
        <w:trPr>
          <w:trHeight w:val="311"/>
        </w:trPr>
        <w:tc>
          <w:tcPr>
            <w:tcW w:w="2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462,537</w:t>
            </w:r>
          </w:p>
        </w:tc>
      </w:tr>
      <w:tr>
        <w:trPr>
          <w:trHeight w:val="418"/>
        </w:trPr>
        <w:tc>
          <w:tcPr>
            <w:tcW w:w="2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2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N/A</w:t>
            </w:r>
          </w:p>
        </w:tc>
      </w:tr>
      <w:tr>
        <w:trPr>
          <w:trHeight w:val="128"/>
        </w:trPr>
        <w:tc>
          <w:tcPr>
            <w:tcW w:w="24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3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90"/>
        </w:trPr>
        <w:tc>
          <w:tcPr>
            <w:tcW w:w="24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23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29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462,537</w:t>
            </w:r>
          </w:p>
        </w:tc>
        <w:tc>
          <w:tcPr>
            <w:tcW w:w="20" w:type="dxa"/>
            <w:vAlign w:val="bottom"/>
          </w:tcPr>
          <w:p>
            <w:pPr>
              <w:spacing w:after="0"/>
              <w:rPr>
                <w:sz w:val="16"/>
                <w:szCs w:val="16"/>
                <w:color w:val="auto"/>
              </w:rPr>
            </w:pPr>
          </w:p>
        </w:tc>
      </w:tr>
      <w:tr>
        <w:trPr>
          <w:trHeight w:val="20"/>
        </w:trPr>
        <w:tc>
          <w:tcPr>
            <w:tcW w:w="2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-710565</wp:posOffset>
            </wp:positionV>
            <wp:extent cx="7132320" cy="274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-162560</wp:posOffset>
            </wp:positionV>
            <wp:extent cx="713232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2680" w:space="180"/>
            <w:col w:w="8380"/>
          </w:cols>
          <w:pgMar w:left="320" w:top="123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following table sets forth, as of May 21, 2026, information regarding the number and percentage of shares owned by each director, our chief executive officer, each executive officer, all directors and executive officers as a group, and any person known to us to be the beneficial owner of more than 5% of outstanding shares of our common stock. Beneficial ownership is determined in accordance with the rules of the SEC and includes securities that a person has the right to acquire within 60 days. The address for each of the directors and executive officers and 5% stockholders named below is in care of our principal executive offices at 390 Madison Avenue, New York, New York 10017.</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Amount and Nature of</w:t>
            </w:r>
          </w:p>
        </w:tc>
        <w:tc>
          <w:tcPr>
            <w:tcW w:w="260" w:type="dxa"/>
            <w:vAlign w:val="bottom"/>
          </w:tcPr>
          <w:p>
            <w:pPr>
              <w:spacing w:after="0"/>
              <w:rPr>
                <w:sz w:val="17"/>
                <w:szCs w:val="17"/>
                <w:color w:val="auto"/>
              </w:rPr>
            </w:pPr>
          </w:p>
        </w:tc>
        <w:tc>
          <w:tcPr>
            <w:tcW w:w="2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Percent of common</w:t>
            </w:r>
          </w:p>
        </w:tc>
      </w:tr>
      <w:tr>
        <w:trPr>
          <w:trHeight w:val="258"/>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40" w:type="dxa"/>
            <w:vAlign w:val="bottom"/>
          </w:tcPr>
          <w:p>
            <w:pPr>
              <w:spacing w:after="0"/>
              <w:rPr>
                <w:sz w:val="22"/>
                <w:szCs w:val="22"/>
                <w:color w:val="auto"/>
              </w:rPr>
            </w:pPr>
          </w:p>
        </w:tc>
        <w:tc>
          <w:tcPr>
            <w:tcW w:w="2500" w:type="dxa"/>
            <w:vAlign w:val="bottom"/>
          </w:tcPr>
          <w:p>
            <w:pPr>
              <w:ind w:left="360"/>
              <w:spacing w:after="0" w:line="258" w:lineRule="exact"/>
              <w:rPr>
                <w:sz w:val="20"/>
                <w:szCs w:val="20"/>
                <w:color w:val="auto"/>
              </w:rPr>
            </w:pP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24"/>
                <w:szCs w:val="24"/>
                <w:b w:val="1"/>
                <w:bCs w:val="1"/>
                <w:color w:val="auto"/>
                <w:vertAlign w:val="superscript"/>
              </w:rPr>
              <w:t>(1)</w:t>
            </w:r>
          </w:p>
        </w:tc>
        <w:tc>
          <w:tcPr>
            <w:tcW w:w="260" w:type="dxa"/>
            <w:vAlign w:val="bottom"/>
          </w:tcPr>
          <w:p>
            <w:pPr>
              <w:spacing w:after="0"/>
              <w:rPr>
                <w:sz w:val="22"/>
                <w:szCs w:val="22"/>
                <w:color w:val="auto"/>
              </w:rPr>
            </w:pPr>
          </w:p>
        </w:tc>
        <w:tc>
          <w:tcPr>
            <w:tcW w:w="20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10"/>
        </w:trPr>
        <w:tc>
          <w:tcPr>
            <w:tcW w:w="63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40" w:type="dxa"/>
            <w:vAlign w:val="bottom"/>
            <w:shd w:val="clear" w:color="auto" w:fill="CFF0FC"/>
          </w:tcPr>
          <w:p>
            <w:pPr>
              <w:spacing w:after="0"/>
              <w:rPr>
                <w:sz w:val="18"/>
                <w:szCs w:val="18"/>
                <w:color w:val="auto"/>
              </w:rPr>
            </w:pPr>
          </w:p>
        </w:tc>
        <w:tc>
          <w:tcPr>
            <w:tcW w:w="25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Chad Tredway</w:t>
            </w:r>
          </w:p>
        </w:tc>
        <w:tc>
          <w:tcPr>
            <w:tcW w:w="140" w:type="dxa"/>
            <w:vAlign w:val="bottom"/>
          </w:tcPr>
          <w:p>
            <w:pPr>
              <w:spacing w:after="0"/>
              <w:rPr>
                <w:sz w:val="18"/>
                <w:szCs w:val="18"/>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Douglas A. Schwartz</w:t>
            </w:r>
          </w:p>
        </w:tc>
        <w:tc>
          <w:tcPr>
            <w:tcW w:w="2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136,884</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Dave S. Esrig</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8,356</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Lawrence A. Goodfield, Jr.</w:t>
            </w:r>
          </w:p>
        </w:tc>
        <w:tc>
          <w:tcPr>
            <w:tcW w:w="2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Christian P. Porwoll</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 Scott Napier</w:t>
            </w:r>
          </w:p>
        </w:tc>
        <w:tc>
          <w:tcPr>
            <w:tcW w:w="2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Randy A. Daniels</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21,510</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Justin M. Murphy</w:t>
            </w:r>
          </w:p>
        </w:tc>
        <w:tc>
          <w:tcPr>
            <w:tcW w:w="2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10,268</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Yvonne D. Nelson</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19,479</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6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William L. Ramseyer</w:t>
            </w:r>
          </w:p>
        </w:tc>
        <w:tc>
          <w:tcPr>
            <w:tcW w:w="140" w:type="dxa"/>
            <w:vAlign w:val="bottom"/>
            <w:tcBorders>
              <w:bottom w:val="single" w:sz="8" w:color="CFF0FC"/>
            </w:tcBorders>
            <w:shd w:val="clear" w:color="auto" w:fill="CFF0FC"/>
          </w:tcPr>
          <w:p>
            <w:pPr>
              <w:spacing w:after="0"/>
              <w:rPr>
                <w:sz w:val="18"/>
                <w:szCs w:val="18"/>
                <w:color w:val="auto"/>
              </w:rPr>
            </w:pPr>
          </w:p>
        </w:tc>
        <w:tc>
          <w:tcPr>
            <w:tcW w:w="2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20,136</w:t>
            </w:r>
          </w:p>
        </w:tc>
        <w:tc>
          <w:tcPr>
            <w:tcW w:w="260" w:type="dxa"/>
            <w:vAlign w:val="bottom"/>
            <w:tcBorders>
              <w:bottom w:val="single" w:sz="8" w:color="CFF0FC"/>
            </w:tcBorders>
            <w:shd w:val="clear" w:color="auto" w:fill="CFF0FC"/>
          </w:tcPr>
          <w:p>
            <w:pPr>
              <w:spacing w:after="0"/>
              <w:rPr>
                <w:sz w:val="18"/>
                <w:szCs w:val="18"/>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(10 persons)</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231,949</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&lt;1%</w:t>
            </w:r>
          </w:p>
        </w:tc>
        <w:tc>
          <w:tcPr>
            <w:tcW w:w="180" w:type="dxa"/>
            <w:vAlign w:val="bottom"/>
          </w:tcPr>
          <w:p>
            <w:pPr>
              <w:spacing w:after="0"/>
              <w:rPr>
                <w:sz w:val="18"/>
                <w:szCs w:val="18"/>
                <w:color w:val="auto"/>
              </w:rPr>
            </w:pPr>
          </w:p>
        </w:tc>
      </w:tr>
      <w:tr>
        <w:trPr>
          <w:trHeight w:val="20"/>
        </w:trPr>
        <w:tc>
          <w:tcPr>
            <w:tcW w:w="6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7"/>
        </w:trPr>
        <w:tc>
          <w:tcPr>
            <w:tcW w:w="63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5% Stockholders</w:t>
            </w:r>
          </w:p>
        </w:tc>
        <w:tc>
          <w:tcPr>
            <w:tcW w:w="140" w:type="dxa"/>
            <w:vAlign w:val="bottom"/>
            <w:shd w:val="clear" w:color="auto" w:fill="CFF0FC"/>
          </w:tcPr>
          <w:p>
            <w:pPr>
              <w:spacing w:after="0"/>
              <w:rPr>
                <w:sz w:val="17"/>
                <w:szCs w:val="17"/>
                <w:color w:val="auto"/>
              </w:rPr>
            </w:pPr>
          </w:p>
        </w:tc>
        <w:tc>
          <w:tcPr>
            <w:tcW w:w="25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Santa Barbara Cottage Hospital</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11,121,869</w:t>
            </w:r>
          </w:p>
        </w:tc>
        <w:tc>
          <w:tcPr>
            <w:tcW w:w="2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11.30%</w:t>
            </w:r>
          </w:p>
        </w:tc>
      </w:tr>
      <w:tr>
        <w:trPr>
          <w:trHeight w:val="216"/>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Associated Electric &amp; Gas Insurance Services Limited</w:t>
            </w:r>
          </w:p>
        </w:tc>
        <w:tc>
          <w:tcPr>
            <w:tcW w:w="2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7,572,219</w:t>
            </w:r>
          </w:p>
        </w:tc>
        <w:tc>
          <w:tcPr>
            <w:tcW w:w="2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7.69%</w:t>
            </w:r>
          </w:p>
        </w:tc>
      </w:tr>
      <w:tr>
        <w:trPr>
          <w:trHeight w:val="126"/>
        </w:trPr>
        <w:tc>
          <w:tcPr>
            <w:tcW w:w="6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__________________</w:t>
            </w:r>
          </w:p>
        </w:tc>
        <w:tc>
          <w:tcPr>
            <w:tcW w:w="1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65"/>
        </w:trPr>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   Less than 1%</w:t>
            </w:r>
          </w:p>
        </w:tc>
        <w:tc>
          <w:tcPr>
            <w:tcW w:w="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-766445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-766445</wp:posOffset>
            </wp:positionV>
            <wp:extent cx="1117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tab/>
        <w:t>All shares listed in the table are Class E shares except for the shares held by Associated Electric &amp; Gas Insurance Services Limited, which are Class I shares.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TRANSACTIONS WITH RELATED PERSONS AND CERTAIN CONTROL PERSONS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describes all transactions during the fiscal year ended December 31, 2025 and currently proposed transactions involving us, our directors, the Adviser, J.P. Morgan and any affiliate thereof.</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Adviser and J.P. Morgan</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are externally managed by J.P. Morgan Investment Management Inc. JPMIM is one of the industry’s premier global real estate investment managers. JPMIM has over 60 years of experience advising and managing some of the world’s most respected corporations, pension plans, governments, institutions and high net worth investors on their real estate investments, with assets under management of approximately $82 billion of debt and equity real estate investments, including approximately $68 billion in assets managed in the United States by its Real Estate Americas platform as of December 31, 2025.</w:t>
      </w:r>
    </w:p>
    <w:p>
      <w:pPr>
        <w:spacing w:after="0" w:line="72"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“REA” refers to J.P. Morgan Asset Management Holdings Inc. and its respective affiliates and subsidiaries and, where applicable, any successor thereto comprising the investment management businesses of JPMIM, JPMorgan Chase &amp; Co. and their respective affiliates and subsidiaries and, where applicable, any successor thereto, with expertise in real estate and real estate-related investments in the United States. The REA platform has earned a market leadership position through its strategic relationships and information advantage. The REA team includes over 215 professionals across six U.S. offices in Boston, Chicago, Dallas, Los Angeles, New York and San Francisco. The team combines regional and local market expertise with a multidisciplinary approach to investment, including acquisitions, asset management, research, debt capital markets, development and engineering, client strategy, financial, tax, valuations, and product development.</w:t>
      </w:r>
    </w:p>
    <w:p>
      <w:pPr>
        <w:spacing w:after="0" w:line="8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Pursuant to the Advisory Agreement, the Adviser has contractual and fiduciary responsibilities to us and our stockholders and is responsible for sourcing, evaluating and monitoring our investment opportunities and making decisions related to the acquisition, management, financing and disposition of our assets, in accordance with our investment objectives, guidelines, policies and limitations, subject to oversight by our Board. We or the Adviser may retain other service providers in connection with our operations, including administration, legal and accounting support. The Adviser leverages the global resources of REA to achieve our investment goals and objectives.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Advisory Agreement</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Board at all times has ultimate oversight and policy-making authority, including responsibility for governance, financial controls, compliance and disclosure, with respect to our Company and J.P. Morgan REIT Operating Partnership, L.P. (the “Operating Partnership”). Pursuant to the Advisory Agreement, our Board has delegated to the Adviser the authority to source, evaluate and monitor our investment opportunities and make decisions related to the acquisition, management, financing and disposition of our assets, in accordance with our investment objectives, guidelines, policies and limitations, subject to oversight by our Board. We believe that the Adviser currently has sufficient staff and resources so as to be capable of fulfilling the duties set forth in the Advisory Agreement.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w:t>
      </w:r>
    </w:p>
    <w:p>
      <w:pPr>
        <w:spacing w:after="0" w:line="1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Pursuant to the terms of the Advisory Agreement, the Adviser is responsible for, among other things:</w:t>
      </w:r>
    </w:p>
    <w:p>
      <w:pPr>
        <w:spacing w:after="0" w:line="113" w:lineRule="exact"/>
        <w:rPr>
          <w:sz w:val="20"/>
          <w:szCs w:val="20"/>
          <w:color w:val="auto"/>
        </w:rPr>
      </w:pPr>
    </w:p>
    <w:p>
      <w:pPr>
        <w:ind w:left="1120" w:right="900" w:hanging="77"/>
        <w:spacing w:after="0" w:line="282" w:lineRule="auto"/>
        <w:rPr>
          <w:sz w:val="20"/>
          <w:szCs w:val="20"/>
          <w:color w:val="auto"/>
        </w:rPr>
      </w:pPr>
      <w:r>
        <w:rPr>
          <w:rFonts w:ascii="Times New Roman" w:cs="Times New Roman" w:eastAsia="Times New Roman" w:hAnsi="Times New Roman"/>
          <w:sz w:val="18"/>
          <w:szCs w:val="18"/>
          <w:color w:val="auto"/>
        </w:rPr>
        <w:t>serving as an advisor to us and the Operating Partnership with respect to the establishment and periodic review of our investment guidelines and our and the Operating Partnership’s investments, financing activities and operations;</w:t>
      </w:r>
    </w:p>
    <w:p>
      <w:pPr>
        <w:spacing w:after="0" w:line="67" w:lineRule="exact"/>
        <w:rPr>
          <w:sz w:val="20"/>
          <w:szCs w:val="20"/>
          <w:color w:val="auto"/>
        </w:rPr>
      </w:pPr>
    </w:p>
    <w:p>
      <w:pPr>
        <w:ind w:left="1120" w:right="620" w:hanging="77"/>
        <w:spacing w:after="0" w:line="266" w:lineRule="auto"/>
        <w:rPr>
          <w:sz w:val="20"/>
          <w:szCs w:val="20"/>
          <w:color w:val="auto"/>
        </w:rPr>
      </w:pPr>
      <w:r>
        <w:rPr>
          <w:rFonts w:ascii="Times New Roman" w:cs="Times New Roman" w:eastAsia="Times New Roman" w:hAnsi="Times New Roman"/>
          <w:sz w:val="18"/>
          <w:szCs w:val="18"/>
          <w:color w:val="auto"/>
        </w:rPr>
        <w:t>sourcing, evaluating and monitoring our and the Operating Partnership’s investment opportunities and executing the acquisition, management, financing and disposition of our and the Operating Partnership’s assets, in accordance with our investment guidelines, policies and objectives and limitations, subject to oversight by our Board;</w:t>
      </w:r>
    </w:p>
    <w:p>
      <w:pPr>
        <w:spacing w:after="0" w:line="81" w:lineRule="exact"/>
        <w:rPr>
          <w:sz w:val="20"/>
          <w:szCs w:val="20"/>
          <w:color w:val="auto"/>
        </w:rPr>
      </w:pPr>
    </w:p>
    <w:p>
      <w:pPr>
        <w:ind w:left="1120" w:right="480" w:hanging="77"/>
        <w:spacing w:after="0" w:line="266" w:lineRule="auto"/>
        <w:rPr>
          <w:sz w:val="20"/>
          <w:szCs w:val="20"/>
          <w:color w:val="auto"/>
        </w:rPr>
      </w:pPr>
      <w:r>
        <w:rPr>
          <w:rFonts w:ascii="Times New Roman" w:cs="Times New Roman" w:eastAsia="Times New Roman" w:hAnsi="Times New Roman"/>
          <w:sz w:val="18"/>
          <w:szCs w:val="18"/>
          <w:color w:val="auto"/>
        </w:rPr>
        <w:t>with respect to prospective acquisitions, purchases, sales, exchanges or other dispositions of investments, conducting negotiations on our and the Operating Partnership’s behalf with sellers, purchasers, and other counterparties and, if applicable, their respective agents, advisors and representatives, and determining the structure and terms of such transactions;</w:t>
      </w:r>
    </w:p>
    <w:p>
      <w:pPr>
        <w:spacing w:after="0" w:line="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providing us with portfolio management and other related services;</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serving as our advisor with respect to decisions regarding any of our financings, hedging activities or borrowings; and</w:t>
      </w:r>
    </w:p>
    <w:p>
      <w:pPr>
        <w:spacing w:after="0" w:line="130" w:lineRule="exact"/>
        <w:rPr>
          <w:sz w:val="20"/>
          <w:szCs w:val="20"/>
          <w:color w:val="auto"/>
        </w:rPr>
      </w:pPr>
    </w:p>
    <w:p>
      <w:pPr>
        <w:ind w:left="1120" w:right="640" w:hanging="77"/>
        <w:spacing w:after="0" w:line="282" w:lineRule="auto"/>
        <w:rPr>
          <w:sz w:val="20"/>
          <w:szCs w:val="20"/>
          <w:color w:val="auto"/>
        </w:rPr>
      </w:pPr>
      <w:r>
        <w:rPr>
          <w:rFonts w:ascii="Times New Roman" w:cs="Times New Roman" w:eastAsia="Times New Roman" w:hAnsi="Times New Roman"/>
          <w:sz w:val="18"/>
          <w:szCs w:val="18"/>
          <w:color w:val="auto"/>
        </w:rPr>
        <w:t>engaging and supervising, on our and the Operating Partnership’s behalf and at our and the Operating Partnership’s expense, various service providers.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20" w:name="page21"/>
    <w:bookmarkEnd w:id="20"/>
    <w:p>
      <w:pPr>
        <w:ind w:right="240"/>
        <w:spacing w:after="0" w:line="282" w:lineRule="auto"/>
        <w:rPr>
          <w:sz w:val="20"/>
          <w:szCs w:val="20"/>
          <w:color w:val="auto"/>
        </w:rPr>
      </w:pPr>
      <w:r>
        <w:rPr>
          <w:rFonts w:ascii="Times New Roman" w:cs="Times New Roman" w:eastAsia="Times New Roman" w:hAnsi="Times New Roman"/>
          <w:sz w:val="18"/>
          <w:szCs w:val="18"/>
          <w:color w:val="auto"/>
        </w:rPr>
        <w:t>The above summary is provided to illustrate the material functions which the Adviser performs for us, and it is not intended to include all of the services which may be provided to us by the Adviser or third parties.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and Termination Rights</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current term of the Advisory Agreement expires on December 12, 2026, subject to renewals by our Board for an unlimited number of successive one-year periods. Our independent directors will evaluate the performance of the Adviser before renewing the Advisory Agreement. The Advisory Agreement may be terminated:</w:t>
      </w:r>
    </w:p>
    <w:p>
      <w:pPr>
        <w:spacing w:after="0" w:line="63" w:lineRule="exact"/>
        <w:rPr>
          <w:sz w:val="20"/>
          <w:szCs w:val="20"/>
          <w:color w:val="auto"/>
        </w:rPr>
      </w:pPr>
    </w:p>
    <w:p>
      <w:pPr>
        <w:ind w:left="1120" w:right="460" w:hanging="77"/>
        <w:spacing w:after="0" w:line="282" w:lineRule="auto"/>
        <w:rPr>
          <w:sz w:val="20"/>
          <w:szCs w:val="20"/>
          <w:color w:val="auto"/>
        </w:rPr>
      </w:pPr>
      <w:r>
        <w:rPr>
          <w:rFonts w:ascii="Times New Roman" w:cs="Times New Roman" w:eastAsia="Times New Roman" w:hAnsi="Times New Roman"/>
          <w:sz w:val="18"/>
          <w:szCs w:val="18"/>
          <w:color w:val="auto"/>
        </w:rPr>
        <w:t>immediately by us (1) for “cause,” (2) upon the bankruptcy of the Adviser or (3) upon a material breach of the Advisory Agreement by the Adviser;</w:t>
      </w:r>
    </w:p>
    <w:p>
      <w:pPr>
        <w:spacing w:after="0" w:line="67" w:lineRule="exact"/>
        <w:rPr>
          <w:sz w:val="20"/>
          <w:szCs w:val="20"/>
          <w:color w:val="auto"/>
        </w:rPr>
      </w:pPr>
    </w:p>
    <w:p>
      <w:pPr>
        <w:ind w:left="1040" w:right="1560"/>
        <w:spacing w:after="0" w:line="393" w:lineRule="auto"/>
        <w:rPr>
          <w:sz w:val="20"/>
          <w:szCs w:val="20"/>
          <w:color w:val="auto"/>
        </w:rPr>
      </w:pPr>
      <w:r>
        <w:rPr>
          <w:rFonts w:ascii="Times New Roman" w:cs="Times New Roman" w:eastAsia="Times New Roman" w:hAnsi="Times New Roman"/>
          <w:sz w:val="18"/>
          <w:szCs w:val="18"/>
          <w:color w:val="auto"/>
        </w:rPr>
        <w:t>upon 60 days’ written notice by us without cause or penalty upon the vote of a majority of our independent directors; or upon 60 days’ written notice by the Adviser.</w:t>
      </w:r>
    </w:p>
    <w:p>
      <w:pPr>
        <w:spacing w:after="0" w:line="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“Cause” is defined in the Advisory Agreement to mean fraud, criminal conduct, willful misconduct or willful or negligent breach of fiduciary duty by the Adviser under the Advisory Agreement.</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the event the Advisory Agreement is terminated, the Adviser will be entitled to receive its prorated management fee through the date of termination. In addition, upon the termination or expiration of the Advisory Agreement, the Adviser will cooperate with us and take all reasonable steps requested to assist our Board in making an orderly transition of the advisory function.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Fee and Expense Reimbursements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Management Fee. </w:t>
      </w:r>
      <w:r>
        <w:rPr>
          <w:rFonts w:ascii="Times New Roman" w:cs="Times New Roman" w:eastAsia="Times New Roman" w:hAnsi="Times New Roman"/>
          <w:sz w:val="18"/>
          <w:szCs w:val="18"/>
          <w:color w:val="auto"/>
        </w:rPr>
        <w:t>As compensation for its services provided pursuant to the Advisory Agreement, we pay the Adviser a management fee equal to 1.00%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NAV for the Class T shares, Class S shares, Class D shares and Class I shares per annum and 0.75% of our NAV for Class Y shares and Class X shares per annum, payable monthly. Additionally, to the extent that the Operating Partnership issues Operating Partnership units to parties other than us, the Operating Partnership will pay the Adviser a management fee equal to 1.00% of the NAV of the Operating Partnership attributable to such Class T, Class S, Class D and Class I Operating Partnership units and 0.75% of the NAV of the Operating Partnership attributable to such Class Y and Class X Operating Partnership units not held by us per annum payable monthly. In calculating our management fee, we will use our NAV before giving effect to accruals for the management fee, performance participation allocation, stockholder servicing fees or distributions payable on our shares. The value of any investment in other investment funds managed, sponsored, or advised by the Adviser or any asset management affiliate of the Adviser that invests primarily in real estate of the type consistent with one or more of our targeted investments (collectively, the “JPM-Advised Funds”) with respect to which we incur a management fee will be excluded from our NAV for the purposes of calculating the management fee payable to the Adviser. We do not pay the Adviser a management fee with respect to the Class E shares or Class E units and as a result, it is a class-specific expense.</w:t>
      </w:r>
    </w:p>
    <w:p>
      <w:pPr>
        <w:spacing w:after="0" w:line="86"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management fee may be paid, at the Adviser’s election, in cash, Class I shares, Class E shares, Class I units or Class E units. The Adviser’s ability to elect to receive shares of our common stock or Operating Partnership units serves as a benefit to our Company for cash management purposes and further aligns the Adviser’s interests with those of our stockholders. Any requests by the Adviser for repurchase of its shares or units will be consistent with the Adviser’s fiduciary duties to us and our stockholders.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fiscal year ended December 31, 2025, we incurred a management fee expense of $1.9 million.</w:t>
      </w:r>
    </w:p>
    <w:p>
      <w:pPr>
        <w:spacing w:after="0" w:line="11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i w:val="1"/>
          <w:iCs w:val="1"/>
          <w:color w:val="auto"/>
        </w:rPr>
        <w:t>Expense Reimbursement</w:t>
      </w:r>
      <w:r>
        <w:rPr>
          <w:rFonts w:ascii="Times New Roman" w:cs="Times New Roman" w:eastAsia="Times New Roman" w:hAnsi="Times New Roman"/>
          <w:sz w:val="18"/>
          <w:szCs w:val="18"/>
          <w:color w:val="auto"/>
        </w:rPr>
        <w:t>. Under the Advisory Agreement, and subject to the limitations described below under “—Reimbursement by the Adviser,”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Adviser is entitled to reimbursement of all costs and expenses incurred by it or its affiliates on our behalf, provided that the Adviser is responsible for the expenses related to any and all personnel of the Adviser who provide investment advisory services to us pursuant to the Advisory Agreement (including each of our executive officers and any directors who are also directors, officers or employees of the Adviser or any of its affiliates), including salaries, bonus and other wages, payroll taxes and the cost of employee benefit plans of such personnel, and costs of insurance with respect to such personnel. Without limiting the generality of the foregoing, costs eligible for reimbursement include out-of-pocket costs and expenses the Adviser incurs in connection with the services it provides to us related to (1) legal, accounting, printing, mailing and subscription processing fees and other expenses attributable to our organization, preparation of the registration statement, registration and qualification of our common stock for sale with the SEC and in the various states and filing fees incurred by the Adviser (as described further below), (2) the actual cost of goods and services used by us and obtained from third parties, including fees paid to administrators, consultants, attorneys, technology providers and other services providers, and brokerage fees paid in connection with the purchase and sale of investments and securities, (3) expenses of managing and operating our properties, whether payable to an affiliate or a non-affiliated person, and (4) out-of-pocket expenses in connection with the selection, evaluation, structuring, acquisition, origination, financing and</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2" w:right="359" w:bottom="1440" w:gutter="0" w:footer="0" w:header="0"/>
        </w:sectPr>
      </w:pPr>
    </w:p>
    <w:bookmarkStart w:id="21" w:name="page22"/>
    <w:bookmarkEnd w:id="21"/>
    <w:p>
      <w:pPr>
        <w:ind w:right="140"/>
        <w:spacing w:after="0" w:line="261" w:lineRule="auto"/>
        <w:rPr>
          <w:sz w:val="20"/>
          <w:szCs w:val="20"/>
          <w:color w:val="auto"/>
        </w:rPr>
      </w:pPr>
      <w:r>
        <w:rPr>
          <w:rFonts w:ascii="Times New Roman" w:cs="Times New Roman" w:eastAsia="Times New Roman" w:hAnsi="Times New Roman"/>
          <w:sz w:val="18"/>
          <w:szCs w:val="18"/>
          <w:color w:val="auto"/>
        </w:rPr>
        <w:t>development of properties and real estate-related securities, whether or not such investments are acquired. Such out-of-pocket costs and expenses will include expenses relating to compliance-related matters and regulatory filings relating to our activities (including expenses relating to the preparation and filing of any reports, disclosures, and other regulatory filings relating to our activities (including our pro rata share of the costs of the Adviser and its affiliates of regulatory expenses that relate to us)).</w:t>
      </w:r>
    </w:p>
    <w:p>
      <w:pPr>
        <w:spacing w:after="0" w:line="72"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The Adviser will advance on our behalf certain operating expenses through the earlier of (i) the first date that our NAV reaches $1.0 billion and (ii) December 31, 2026. We will reimburse the Adviser for all such advanced operating expenses ratably over the 60 months following such date. Such reimbursement may be paid, at the Adviser’s election, in cash, Class E shares, Class I shares, Class E units or Class I units.</w:t>
      </w:r>
    </w:p>
    <w:p>
      <w:pPr>
        <w:spacing w:after="0" w:line="6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reimburse the Adviser for any organization and offering expenses associated with our public offering that it incurs on our behalf (including legal, accounting, printing, mailing, subscription processing and filing fees and expenses, reasonable bona fide due diligence expenses of participating broker-dealers supported by detailed and itemized invoices, costs in connection with preparing sales materials, design and website expenses, fees and expenses of our transfer agent and platform service providers, and expense reimbursements for actual costs incurred by employees of the J.P. Morgan Institutional Investments Inc. (the “Dealer Manager”) in the performance of wholesaling activities, but excluding upfront selling commissions, dealer manager fees and stockholder servicing fees) as and when incurred. The Adviser currently pays wholesaling compensation expenses and certain related expenses of persons associated with the Dealer Manager without reimbursement from us. After the termination of the primary offering and again after termination of our public offering under our distribution reinvestment plan, the Adviser has agreed to reimburse us to the extent that the organization and offering expenses that we incur exceed 15% of our gross proceeds from the applicable offering.</w:t>
      </w:r>
    </w:p>
    <w:p>
      <w:pPr>
        <w:spacing w:after="0" w:line="8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Adviser advanced our organization and offering expenses on our behalf through July 22, 2024. After July 22, 2024, we began reimbursing the Adviser for all such advanced expenses ratably in 60 equal monthly installments. We will reimburse the Adviser for any organization and offering expenses that it incurs on our behalf as and when incurred.</w:t>
      </w:r>
    </w:p>
    <w:p>
      <w:pPr>
        <w:spacing w:after="0" w:line="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At the Adviser’s election, we will reimburse the Adviser for all such expenses in cash or cash equivalent NAV amounts of Class E shares, Class I shares, Class E units or Class I units. If the Adviser elects to receive any portion of reimbursed expenses in shares or units, the Adviser may elect to have us or the Operating Partnership repurchase such shares or units from the Adviser at a later date, and such shares or units will not be subject to the repurchase limits of our share repurchase plan or any reduction or penalty for an early repurchase. The Operating Partnership will repurchase any such units for cash unless our Board determines that any such repurchase for cash would be prohibited by applicable law or our charter, in which case such units will be repurchased, at the Adviser’s election, for Class I shares or Class E shares with an equivalent aggregate NAV. The Adviser will have the option of exchanging Class E shares or Class I shares for an equivalent aggregate NAV amount of Class T shares, Class S shares or Class D shares.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we had reimbursed to the Adviser $2.1 million for organization and offering costs.</w:t>
      </w:r>
    </w:p>
    <w:p>
      <w:pPr>
        <w:spacing w:after="0" w:line="115"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Reimbursement by the Adviser. </w:t>
      </w:r>
      <w:r>
        <w:rPr>
          <w:rFonts w:ascii="Times New Roman" w:cs="Times New Roman" w:eastAsia="Times New Roman" w:hAnsi="Times New Roman"/>
          <w:sz w:val="18"/>
          <w:szCs w:val="18"/>
          <w:color w:val="auto"/>
        </w:rPr>
        <w:t>The Adviser will reimburse us for any expenses that cause our Total Operating Expenses in any four consecutive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quarters to exceed the greater of: (1) 2% of our Average Invested Assets and (2) 25% of our Net Income.</w:t>
      </w:r>
    </w:p>
    <w:p>
      <w:pPr>
        <w:spacing w:after="0" w:line="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purposes of these limits:</w:t>
      </w:r>
    </w:p>
    <w:p>
      <w:pPr>
        <w:spacing w:after="0" w:line="113" w:lineRule="exact"/>
        <w:rPr>
          <w:sz w:val="20"/>
          <w:szCs w:val="20"/>
          <w:color w:val="auto"/>
        </w:rPr>
      </w:pPr>
    </w:p>
    <w:p>
      <w:pPr>
        <w:ind w:left="1500" w:hanging="299"/>
        <w:spacing w:after="0" w:line="254" w:lineRule="auto"/>
        <w:rPr>
          <w:sz w:val="20"/>
          <w:szCs w:val="20"/>
          <w:color w:val="auto"/>
        </w:rPr>
      </w:pPr>
      <w:r>
        <w:rPr>
          <w:rFonts w:ascii="Times New Roman" w:cs="Times New Roman" w:eastAsia="Times New Roman" w:hAnsi="Times New Roman"/>
          <w:sz w:val="18"/>
          <w:szCs w:val="18"/>
          <w:color w:val="auto"/>
        </w:rPr>
        <w:t>“Total Operating Expenses” are all costs and expenses paid or incurred by us, as determined under GAAP, including the management fee and the performance participation, but excluding: (i) the expenses of raising capital such as organization and offering expenses, legal, audit, accounting, underwriting, brokerage, listing, registration and other fees, printing and other such expenses and taxes incurred in connection with the issuance, distribution, transfer, registration and listing of our capital stock, (ii) property-level expenses incurred at each property, (iii) interest payments, (iv) taxes, (v) non-cash expenditures such as depreciation, amortization and bad debt reserves, (vi) incentive fees paid in compliance with our charter, (vii) acquisition fees and acquisition expenses related to the selection and acquisition of assets, whether or not a property is actually acquired, (viii) real estate commissions on the sale of property and (ix) other fees and expenses connected with the acquisition, disposition and ownership of real estate interests, mortgage loans or other property (including the costs of foreclosure, insurance premiums, legal services, maintenance, repair and improvement of property).</w:t>
      </w:r>
    </w:p>
    <w:p>
      <w:pPr>
        <w:spacing w:after="0" w:line="93" w:lineRule="exact"/>
        <w:rPr>
          <w:sz w:val="20"/>
          <w:szCs w:val="20"/>
          <w:color w:val="auto"/>
        </w:rPr>
      </w:pPr>
    </w:p>
    <w:p>
      <w:pPr>
        <w:ind w:left="1500" w:right="20" w:hanging="299"/>
        <w:spacing w:after="0" w:line="261" w:lineRule="auto"/>
        <w:rPr>
          <w:sz w:val="20"/>
          <w:szCs w:val="20"/>
          <w:color w:val="auto"/>
        </w:rPr>
      </w:pPr>
      <w:r>
        <w:rPr>
          <w:rFonts w:ascii="Times New Roman" w:cs="Times New Roman" w:eastAsia="Times New Roman" w:hAnsi="Times New Roman"/>
          <w:sz w:val="18"/>
          <w:szCs w:val="18"/>
          <w:color w:val="auto"/>
        </w:rPr>
        <w:t>“Average Invested Assets” means, for any period, the average of the aggregate book value of our assets, invested, directly or indirectly, in equity interests in and loans secured by real estate, including all properties, mortgages and real estate-related securities and consolidated and unconsolidated joint ventures or other partnerships, before deducting depreciation, amortization, bad debt reserves or other non-cash reserves, computed by taking the average of such values at the end of each month during such period.</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2" w:right="379" w:bottom="1440" w:gutter="0" w:footer="0" w:header="0"/>
        </w:sectPr>
      </w:pPr>
    </w:p>
    <w:bookmarkStart w:id="22" w:name="page23"/>
    <w:bookmarkEnd w:id="22"/>
    <w:p>
      <w:pPr>
        <w:ind w:left="1500" w:right="180" w:hanging="299"/>
        <w:spacing w:after="0" w:line="266" w:lineRule="auto"/>
        <w:rPr>
          <w:sz w:val="20"/>
          <w:szCs w:val="20"/>
          <w:color w:val="auto"/>
        </w:rPr>
      </w:pPr>
      <w:r>
        <w:rPr>
          <w:rFonts w:ascii="Times New Roman" w:cs="Times New Roman" w:eastAsia="Times New Roman" w:hAnsi="Times New Roman"/>
          <w:sz w:val="18"/>
          <w:szCs w:val="18"/>
          <w:color w:val="auto"/>
        </w:rPr>
        <w:t>“Net Income” means, for any period, total revenues applicable to such period, less the total expenses applicable to such period other than additions to, or allowances for, non-cash charges such as depreciation, amortization, impairments and reserves for bad debt or other similar non-cash reserves.</w:t>
      </w:r>
    </w:p>
    <w:p>
      <w:pPr>
        <w:spacing w:after="0" w:line="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Notwithstanding the foregoing, to the extent that our Total Operating Expenses exceed these limits, and the independent directors determine that the excess expenses were justified based on unusual and nonrecurring factors that they deem sufficient, the Adviser would not be required to reimburse us. Within 60 days after the end of any fiscal quarter for which our Total Operating Expenses for the four consecutive fiscal quarters then ended exceed these limits and our independent directors approve such excess amount, we will send our stockholders a written disclosure of such fact, or will include such information in our next quarterly report on Form 10-Q or in a current report on Form 8-K filed with the SEC, together with an explanation of the factors our independent directors considered in arriving at the conclusion that such excess expenses were justified. In addition, our independent directors will review at least annually the total fees and expense reimbursements for operating expenses paid to the Adviser and its affiliates to determine if they are reasonable in light of our performance, our net assets and our net income and the fees and expenses of other comparable unaffiliated REITs. Each such determination will be recorded in the minutes of a meeting of the independent directors.</w:t>
      </w:r>
    </w:p>
    <w:p>
      <w:pPr>
        <w:spacing w:after="0" w:line="8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we were in compliance with this requirement as our Total Operating Expenses were 0.7% of Average Invested Assets and were 20.5% of Net Income.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Participation</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So long as the Advisory Agreement has not been terminated (including by means of non-renewal), J.P. Morgan REIT OP Special Limited Partner, L.P. (the “Special Limited Partner”) will hold a performance participation interest in the Operating Partnership that entitles it to receive an allocation from the Operating Partnership equal to 12.5% of the Total Return, subject to a 5% Hurdle Amount and a High-Water Mark, with a Catch-Up (each term as defined in the limited partnership agreement of the Operating Partnership) with respect to the Class T units, Class S units, Class D units and Class I units of the Operating Partnership, respectively, and 10.0% of the Class X and Y Total Return, subject to a 7% Hurdle Amount and a High-Water Mark, with a Catch-Up (each term as defined in the limited partnership agreement of the Operating Partnership) with respect to Class X units and the Class Y units of the Operating Partnership, respectively. Such allocation will be measured on a calendar year basis, made quarterly and accrued monthly. The performance participation interest is not paid on the Class E units, and as a result, it is a class-specific expense. The Special Limited Partner earned $1.4 million of performance participation interest for the year ended December 31, 2025.</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Directors’ Review of Compensation</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independent directors evaluate at least annually whether the compensation that we contract to pay to the Adviser is reasonable in relation to the nature and quality of services performed and whether such compensation is within the limits prescribed by our charter. Our independent directors supervise the performance of the Adviser and the compensation we pay to it to determine that the provisions of the Advisory Agreement are being carried out. This evaluation is based on the factors set forth below, as well as any other factors deemed relevant by our independent directors:</w:t>
      </w:r>
    </w:p>
    <w:p>
      <w:pPr>
        <w:spacing w:after="0" w:line="67" w:lineRule="exact"/>
        <w:rPr>
          <w:sz w:val="20"/>
          <w:szCs w:val="20"/>
          <w:color w:val="auto"/>
        </w:rPr>
      </w:pPr>
    </w:p>
    <w:p>
      <w:pPr>
        <w:ind w:left="1160" w:right="2100"/>
        <w:spacing w:after="0" w:line="391" w:lineRule="auto"/>
        <w:rPr>
          <w:sz w:val="20"/>
          <w:szCs w:val="20"/>
          <w:color w:val="auto"/>
        </w:rPr>
      </w:pPr>
      <w:r>
        <w:rPr>
          <w:rFonts w:ascii="Times New Roman" w:cs="Times New Roman" w:eastAsia="Times New Roman" w:hAnsi="Times New Roman"/>
          <w:sz w:val="18"/>
          <w:szCs w:val="18"/>
          <w:color w:val="auto"/>
        </w:rPr>
        <w:t>the amount of fees paid to the Adviser in relation to the size, composition and performance of our investments; the success of the Adviser in generating investments that meet our investment objectives;</w:t>
      </w:r>
    </w:p>
    <w:p>
      <w:pPr>
        <w:ind w:left="760"/>
        <w:spacing w:after="0"/>
        <w:rPr>
          <w:sz w:val="20"/>
          <w:szCs w:val="20"/>
          <w:color w:val="auto"/>
        </w:rPr>
      </w:pPr>
      <w:r>
        <w:rPr>
          <w:rFonts w:ascii="Times New Roman" w:cs="Times New Roman" w:eastAsia="Times New Roman" w:hAnsi="Times New Roman"/>
          <w:sz w:val="18"/>
          <w:szCs w:val="18"/>
          <w:color w:val="auto"/>
        </w:rPr>
        <w:t>rates charged to other externally advised REITs and other similar investment entities by advisors performing similar services;</w:t>
      </w:r>
    </w:p>
    <w:p>
      <w:pPr>
        <w:spacing w:after="0" w:line="130" w:lineRule="exact"/>
        <w:rPr>
          <w:sz w:val="20"/>
          <w:szCs w:val="20"/>
          <w:color w:val="auto"/>
        </w:rPr>
      </w:pPr>
    </w:p>
    <w:p>
      <w:pPr>
        <w:ind w:left="1140" w:right="20" w:firstLine="48"/>
        <w:spacing w:after="0" w:line="282" w:lineRule="auto"/>
        <w:rPr>
          <w:sz w:val="20"/>
          <w:szCs w:val="20"/>
          <w:color w:val="auto"/>
        </w:rPr>
      </w:pPr>
      <w:r>
        <w:rPr>
          <w:rFonts w:ascii="Times New Roman" w:cs="Times New Roman" w:eastAsia="Times New Roman" w:hAnsi="Times New Roman"/>
          <w:sz w:val="18"/>
          <w:szCs w:val="18"/>
          <w:color w:val="auto"/>
        </w:rPr>
        <w:t>additional revenues realized by the Adviser and its affiliates through their advisory relationship with us (including the performance participation allocation paid to the Special Limited Partner);</w:t>
      </w:r>
    </w:p>
    <w:p>
      <w:pPr>
        <w:spacing w:after="0" w:line="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quality and extent of the services and advice furnished by the Adviser;</w:t>
      </w:r>
    </w:p>
    <w:p>
      <w:pPr>
        <w:spacing w:after="0" w:line="130" w:lineRule="exact"/>
        <w:rPr>
          <w:sz w:val="20"/>
          <w:szCs w:val="20"/>
          <w:color w:val="auto"/>
        </w:rPr>
      </w:pPr>
    </w:p>
    <w:p>
      <w:pPr>
        <w:ind w:left="1140" w:right="20" w:firstLine="21"/>
        <w:spacing w:after="0" w:line="282" w:lineRule="auto"/>
        <w:rPr>
          <w:sz w:val="20"/>
          <w:szCs w:val="20"/>
          <w:color w:val="auto"/>
        </w:rPr>
      </w:pPr>
      <w:r>
        <w:rPr>
          <w:rFonts w:ascii="Times New Roman" w:cs="Times New Roman" w:eastAsia="Times New Roman" w:hAnsi="Times New Roman"/>
          <w:sz w:val="18"/>
          <w:szCs w:val="18"/>
          <w:color w:val="auto"/>
        </w:rPr>
        <w:t>the performance of the assets, including income, conservation or appreciation of capital, frequency of problem investments and competence in dealing with distress situations; and</w:t>
      </w:r>
    </w:p>
    <w:p>
      <w:pPr>
        <w:spacing w:after="0" w:line="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quality of our portfolio in relationship to the investments generated by the Adviser for its own account.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agreed to indemnify and hold harmless the Adviser and its affiliates performing services for us from specific claims and liabilities arising out of the performance of their obligations under the Advisory Agreement, subject to certain limitations. See “Limited Liability and Indemnification of Directors, Officers, the Adviser and Other Agents” below.</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Agreements with the Dealer Manager</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entered into agreements with the Dealer Manager in connection with our public and private offerings, pursuant to which the Dealer Manager agreed to, among other things, manage our relationships with third-party broker-dealers engaged by the Dealer Manager to participate in the distribution of shares of our common stock, which we refer to as “participating broker-dealers,” and other intermediaries and investment professionals. The Dealer Manager also coordinates our marketing and distribution efforts with participating broker-dealers, their registered representatives and other investment professionals with respect to communications related to the terms of our public offering, our investment strategies, material aspects of our operations and subscription procedures. We do not pay referral or similar fees to any accountants, attorneys or other persons in connection with the distribution of our shares. The payments the Dealer Manager makes to participating broker-dealers and other intermediaries and financial professionals may create a conflict of interest by influencing the broker-dealer, intermediary or financial professional to recommend investing in our shares over another investment.</w:t>
      </w:r>
    </w:p>
    <w:p>
      <w:pPr>
        <w:spacing w:after="0" w:line="8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our public offering, we entered into an agreement with the Dealer Manager (the “Dealer Manager Agreement”), which provides for the distribution of our common stock in our public offering. Pursuant to the Dealer Manager Agreement, the Dealer Manager is entitled to receive upfront selling commissions and dealer manager fees as described below under “—Upfront Selling Commissions and Dealer Manager Fees” and stockholder servicing fees as described below under “—Stockholder Servicing Fees.”</w:t>
      </w:r>
    </w:p>
    <w:p>
      <w:pPr>
        <w:spacing w:after="0" w:line="7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Also in connection with our public offering, we entered into an engagement letter (the “Participating Dealer Agreement”) with the Dealer Manager, the Adviser and an affiliate of the Adviser (the “Affiliated Participating Dealer”), which authorized the distribution by the Participating Dealer of Class S shares, Class I shares or Class D shares in our public offering. Pursuant to the Participating Dealer Agreement, the Dealer Manager will reallow all or a portion of the upfront selling commissions and stockholder servicing fees payable with respect to the shares sold by the Participating Dealer.</w:t>
      </w:r>
    </w:p>
    <w:p>
      <w:pPr>
        <w:spacing w:after="0" w:line="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connection with the private offering of Class E shares and Class I shares, we entered into a separate agreement with the Dealer Manager (the “Class E/I Private Offering Dealer Manager Agreement”), which provides for the distribution of Class E shares and Class I shares in the Class E/I private offering through registered investment advisers selected by the Dealer Manager. No fees or other compensation (other than the customary reimbursement of expenses and indemnification) are payable to the Dealer Manager under the Class E/I Private Offering Dealer Manager Agreement.</w:t>
      </w:r>
    </w:p>
    <w:p>
      <w:pPr>
        <w:spacing w:after="0" w:line="72"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In connection with the private offering of Class Y shares, we entered into a separate agreement with the Dealer Manager (the “Class Y Private Offering Dealer Manager Agreement”), which provides for the distribution of Class Y shares in the Class Y private offering. Pursuant to the Class Y Private Offering Dealer Manager Agreement, the Dealer Manager is entitled to receive upfront selling commissions with respect to Class Y shares as described below under “—Upfront Selling Commissions and Dealer Manager Fees” and stockholder servicing fees as described below under “—Stockholder Servicing Fees.”</w:t>
      </w:r>
    </w:p>
    <w:p>
      <w:pPr>
        <w:spacing w:after="0" w:line="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Also in connection with the private offering of Class Y shares, we entered into an engagement letter (the “Class Y Participating Dealer Agreement”) with the Dealer Manager, the Adviser and the Affiliated Participating Dealer, which authorized the distribution of the Class Y shares by the Affiliated Participating Dealer. Pursuant to the Class Y Participating Dealer Agreement, the Dealer Manager will reallow all or a portion of the upfront selling commissions and stockholder servicing fees payable with respect to the shares sold by the Affiliated Participating Dealer.</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private offering of Class E shares, we entered into a separate agreement with the Dealer Manager (the “Class E Private Offering Dealer Manager Agreement”), which provides for the distribution of Class E shares in the Class E private offering. No fees or other compensation (other than the customary reimbursement of expenses and indemnification) are payable to the Dealer Manager under the Class E Private Offering Dealer Manager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Upfront Selling Commissions and Dealer Manager Fees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Subject to any discounts, the Dealer Manager is entitled to receive (1) upfront selling commissions of up to 3.0%, and dealer manager fees of up to 0.5% of the transaction price of each Class T share sold in the primary offering, (2) upfront selling commissions of up to 3.5% of the transaction price of each Class S share sold in the primary offering, (3) upfront selling commissions of up to 1.5% of the transaction price of each Class D share sold in the primary offering and (4) upfront selling commissions of up to 3.5% of the transaction price of each Class Y share sold in the private offering of Class Y shares. The Dealer Manager anticipates that all or a portion of the upfront selling commissions and dealer manager fees will be retained by, or reallowed (paid) to, participating broker-dealers or their participating affiliates. Upfront selling commissions with respect to Class D shares were waived during the year ended December 31, 2025. During the year ended December 31, 2025, we incurred $1.1 million in upfront selling commissions and dealer manager fees.</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38"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Servicing Fees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Subject to FINRA limitations on underwriting compensation and certain other limitations described below, we pay the Dealer Manager selling commissions over time as a stockholder servicing fee (i) with respect to our outstanding Class T shares equal to 0.85% per annum of the aggregate NAV of our outstanding Class T shares, consisting of an investment professional stockholder servicing fee of 0.65% per annum, and a dealer stockholder servicing fee of 0.20% per annum, of the aggregate NAV for the Class T shares; however, with respect to Class T shares sold through certain participating broker-dealers, the adviser stockholder servicing fee and the dealer stockholder servicing fee may be other amounts, provided that the sum of such fees will always equal 0.85% per annum of the NAV of such shares, (ii) with respect to our outstanding Class S shares equal to 0.85% per annum of the aggregate NAV of our outstanding Class S shares, (iii) with respect to our outstanding Class D shares equal to 0.25% per annum of the aggregate NAV of our outstanding Class D shares and (iv) with respect to our outstanding Class Y shares equal to 0.85% per annum of the aggregate NAV of our outstanding Class Y shares. Stockholder servicing fees with respect to Class D shares were waived during the year ended December 31, 2025 and the NAV attributable to current stockholders of Class D shares will not be included in the computation of stockholder servicing fees charged on Class D shares in perpetuity. We do not pay a stockholder servicing fee with respect to our outstanding Class I shares, Class E shares or Class X shares. The stockholder servicing expenses borne by the participating brokers may be different from and substantially less than the amount of stockholder servicing fees charged.</w:t>
      </w:r>
    </w:p>
    <w:p>
      <w:pPr>
        <w:spacing w:after="0" w:line="8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stockholder servicing fees are paid monthly in arrears. The Dealer Manager reallows (pays) all or a portion of the stockholder servicing fees to participating broker-dealers and servicing broker-dealers for ongoing stockholder services performed by such broker-dealers and will waive stockholder servicing fees to the extent a broker-dealer is not eligible to receive them for failure to provide such services or as otherwise determined by the Dealer Manager. Because the stockholder servicing fees with respect to Class T shares, Class S shares, Class D shares and Class Y shares are calculated based on the aggregate NAV for all of the outstanding shares of each such class, it reduces the NAV with respect to all shares of each such class, including shares issued under our distribution reinvestment plan. To the extent a stockholder holds Class T shares, Class S shares, Class D or Class Y shares and his or her financial advisor is not eligible to receive the stockholder servicing fee, such stockholder will still bear a portion of the overall stockholder servicing fees through the NAV of the share class or through reduced distributions because such fees are a class-specific expense.</w:t>
      </w:r>
    </w:p>
    <w:p>
      <w:pPr>
        <w:spacing w:after="0" w:line="8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will cease paying the stockholder servicing fee with respect to any Class T share, Class S share, Class D share or Class Y share held in a stockholder’s account at the end of the month in which the Dealer Manager in conjunction with the transfer agent determines that total upfront selling commissions, dealer manager fees and stockholder servicing fees paid with respect to the shares held by such stockholder within such account would exceed, in the aggregate, 8.75% (or, in the case of Class T shares sold through certain participating broker-dealers, a lower limit as set forth in the applicable agreement between the Dealer Manager and a participating broker-dealer at the time such Class T shares were issued) of the gross proceeds from the sale of such shares (including the gross proceeds of any shares issued under our distribution reinvestment plan upon the reinvestment of distributions paid with respect thereto or with respect to any shares issued under our distribution reinvestment plan directly or indirectly attributable to such shares). At the end of such month, such Class T share, Class S share, Class D or Class Y share will convert into a number of Class I shares (or fraction thereof), each with an equivalent aggregate NAV as such shares.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2025, we paid stockholder servicing fees to the Dealer Manager of $0.5 million.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Adviser Class E Repurchases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JPMIM agreed to hold all of the Class E shares and Class E units it purchased as part of the private offering of Class E shares and Class E units (the “Initial Capitalization”) until July 22, 2025. Following such date, each month we will repurchase, without further action by JPMIM, a number of Class E shares or Class E units from JPMIM in an amount equal to 80% of the net monthly public and private offering proceeds of the Company, but not to exceed 80% of the amount available under the share repurchase plan’s 2% monthly and 5% quarterly caps after satisfying repurchase requests from investors, until such time as the JPM Initial Capitalization has been fully repurchased; provided, that the number of shares subject to each mandatory repurchase may be reduced where other holders of Class E shares that were issued pursuant to the Initial Capitalization and are not subject to repurchase under the share repurchase plan request repurchase of their shares, in which case the Class E shares and Class E units held by JPMIM and such other investors will be repurchased on a pro rata basis based on their respective percentage ownership immediately prior to such repurchase (not to exceed an aggregate number of shares equal to the amount available under the share repurchase plan’s 2% monthly and 5% quarterly caps).</w:t>
      </w:r>
    </w:p>
    <w:p>
      <w:pPr>
        <w:spacing w:after="0" w:line="80"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Notwithstanding the foregoing, we will not effect any mandatory repurchases during any month in which the full amount of all shares requested to be repurchased by stockholders other than JPMIM under our share repurchase plan is not repurchased or when our share repurchase plan has been suspended.</w:t>
      </w:r>
    </w:p>
    <w:p>
      <w:pPr>
        <w:spacing w:after="0" w:line="3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addition, subject to certain exceptions, at any time where the shares of our common stock and Operating Partnership units owned by JPMIM, together with any such shares and Operating Partnership units owned by its affiliates, including any shares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25" w:name="page26"/>
    <w:bookmarkEnd w:id="25"/>
    <w:p>
      <w:pPr>
        <w:spacing w:after="0" w:line="256" w:lineRule="auto"/>
        <w:rPr>
          <w:sz w:val="20"/>
          <w:szCs w:val="20"/>
          <w:color w:val="auto"/>
        </w:rPr>
      </w:pPr>
      <w:r>
        <w:rPr>
          <w:rFonts w:ascii="Times New Roman" w:cs="Times New Roman" w:eastAsia="Times New Roman" w:hAnsi="Times New Roman"/>
          <w:sz w:val="18"/>
          <w:szCs w:val="18"/>
          <w:color w:val="auto"/>
        </w:rPr>
        <w:t>or units issued in lieu of cash management fees payable to the Adviser or the performance participation payable to the Special Limited Partner (such aggregate ownership, the “JPM Interest”), represent a 24.99% or lesser interest in us, we will, or will cause the Operating Partnership to, automatically and without further action by JPMIM, repurchase or redeem, as applicable, an amount of shares or Operating Partnership units from JPMIM as may be necessary to cause the JPM Interest to remain equal to or less than 24.99%. To the extent the Adviser elects to receive its management fee in shares of our common stock or Operating Partnership units, we may repurchase those shares or units without regard to the limitations described above or the Early Repurchase Deduction.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Liability and Indemnification of Directors, Officers, the Adviser and Other Agents</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Pursuant to the terms of these indemnification agreements, we must indemnify and advance expenses and costs incurred by our directors and executive officers in connection with any claims, suits or proceedings brought against such directors and executive officers as a result of their service. However, our indemnification obligation is subject to the limitations set forth in the indemnification agreements and in our charter. We also maintain a directors and officers insurance policy.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Related-Party Transaction Policies</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charter contains policies on transactions with affiliated persons. Under the charter, our independent directors must review and approve transactions with affiliates. In determining whether to approve or authorize a particular related-party transaction, the independent directors will consider whether the transaction between us and the related party is fair and reasonable to us and has terms and conditions no less favorable to us than those available from unaffiliated third parties.</w:t>
      </w:r>
    </w:p>
    <w:p>
      <w:pPr>
        <w:spacing w:after="0" w:line="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42" w:right="41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PROPOSAL 2: RATIFICATION OF APPOINTMENT OF INDEPENDENT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PUBLIC ACCOUNTING FIRM</w:t>
      </w:r>
    </w:p>
    <w:p>
      <w:pPr>
        <w:spacing w:after="0" w:line="9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PricewaterhouseCoopers LLP has been appointed by the Audit Committee to serve as our independent registered public accounting firm for the fiscal year ending December 31, 2026. PricewaterhouseCoopers LLP has served as our auditor since 2021. We know of no direct financial or material indirect financial interest of PricewaterhouseCoopers LLP in our company. Representatives of PricewaterhouseCoopers LLP will be present at the virtual Annual Meeting where they will have the opportunity to make a statement if they desire to do so and will be available to respond to appropriate questions.</w:t>
      </w:r>
    </w:p>
    <w:p>
      <w:pPr>
        <w:spacing w:after="0" w:line="72"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Although action by the stockholders on this matter is not required, the Audit Committee and the Board believe it is appropriate to seek stockholder ratification of this selection in light of the role played by our independent registered public accounting firm in reporting on our consolidated financial statements. If a quorum is present at the Annual Meeting and the appointment of PricewaterhouseCoopers LLP as independent registered public accounting firm for the fiscal year ending December 31, 2026 is not ratified by the stockholders, the adverse vote will be considered by the Audit Committee in determining whether to appoint PricewaterhouseCoopers LLP as our independent registered public accounting firm for the succeeding fiscal year.</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Aggregate fees that we were billed for the fiscal years ended December 31, 2025 and December 31, 2024 by our independent registered public accounting firm, PricewaterhouseCoopers LLP, were as follows ($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2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6"/>
                <w:szCs w:val="26"/>
                <w:color w:val="auto"/>
                <w:vertAlign w:val="superscript"/>
              </w:rPr>
              <w:t>(1)</w:t>
            </w:r>
          </w:p>
        </w:tc>
        <w:tc>
          <w:tcPr>
            <w:tcW w:w="26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Pr>
          <w:p>
            <w:pPr>
              <w:spacing w:after="0"/>
              <w:rPr>
                <w:sz w:val="20"/>
                <w:szCs w:val="20"/>
                <w:color w:val="auto"/>
              </w:rPr>
            </w:pPr>
          </w:p>
        </w:tc>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3880" w:type="dxa"/>
            <w:vAlign w:val="bottom"/>
            <w:vMerge w:val="continue"/>
          </w:tcPr>
          <w:p>
            <w:pPr>
              <w:spacing w:after="0"/>
              <w:rPr>
                <w:sz w:val="13"/>
                <w:szCs w:val="13"/>
                <w:color w:val="auto"/>
              </w:rPr>
            </w:pPr>
          </w:p>
        </w:tc>
        <w:tc>
          <w:tcPr>
            <w:tcW w:w="2600" w:type="dxa"/>
            <w:vAlign w:val="bottom"/>
            <w:vMerge w:val="continue"/>
          </w:tcPr>
          <w:p>
            <w:pPr>
              <w:spacing w:after="0"/>
              <w:rPr>
                <w:sz w:val="13"/>
                <w:szCs w:val="13"/>
                <w:color w:val="auto"/>
              </w:rPr>
            </w:pPr>
          </w:p>
        </w:tc>
        <w:tc>
          <w:tcPr>
            <w:tcW w:w="22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950</w:t>
            </w:r>
          </w:p>
        </w:tc>
        <w:tc>
          <w:tcPr>
            <w:tcW w:w="120" w:type="dxa"/>
            <w:vAlign w:val="bottom"/>
          </w:tcPr>
          <w:p>
            <w:pPr>
              <w:spacing w:after="0"/>
              <w:rPr>
                <w:sz w:val="13"/>
                <w:szCs w:val="13"/>
                <w:color w:val="auto"/>
              </w:rPr>
            </w:pPr>
          </w:p>
        </w:tc>
        <w:tc>
          <w:tcPr>
            <w:tcW w:w="2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spacing w:after="0"/>
              <w:rPr>
                <w:sz w:val="13"/>
                <w:szCs w:val="13"/>
                <w:color w:val="auto"/>
              </w:rPr>
            </w:pPr>
          </w:p>
        </w:tc>
        <w:tc>
          <w:tcPr>
            <w:tcW w:w="4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70"/>
        </w:trPr>
        <w:tc>
          <w:tcPr>
            <w:tcW w:w="388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Audit-related fees </w:t>
            </w:r>
            <w:r>
              <w:rPr>
                <w:rFonts w:ascii="Times New Roman" w:cs="Times New Roman" w:eastAsia="Times New Roman" w:hAnsi="Times New Roman"/>
                <w:sz w:val="26"/>
                <w:szCs w:val="26"/>
                <w:color w:val="auto"/>
                <w:vertAlign w:val="superscript"/>
              </w:rPr>
              <w:t>(2)</w:t>
            </w:r>
          </w:p>
        </w:tc>
        <w:tc>
          <w:tcPr>
            <w:tcW w:w="2600" w:type="dxa"/>
            <w:vAlign w:val="bottom"/>
          </w:tcPr>
          <w:p>
            <w:pPr>
              <w:spacing w:after="0"/>
              <w:rPr>
                <w:sz w:val="23"/>
                <w:szCs w:val="23"/>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2600" w:type="dxa"/>
            <w:vAlign w:val="bottom"/>
            <w:shd w:val="clear" w:color="auto" w:fill="CFF0FC"/>
          </w:tcPr>
          <w:p>
            <w:pPr>
              <w:spacing w:after="0"/>
              <w:rPr>
                <w:sz w:val="18"/>
                <w:szCs w:val="18"/>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6"/>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2600" w:type="dxa"/>
            <w:vAlign w:val="bottom"/>
            <w:tcBorders>
              <w:bottom w:val="single" w:sz="8" w:color="CCEEFF"/>
            </w:tcBorders>
          </w:tcPr>
          <w:p>
            <w:pPr>
              <w:spacing w:after="0"/>
              <w:rPr>
                <w:sz w:val="18"/>
                <w:szCs w:val="18"/>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3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-710565</wp:posOffset>
            </wp:positionV>
            <wp:extent cx="698627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86270" cy="137160"/>
                    </a:xfrm>
                    <a:prstGeom prst="rect">
                      <a:avLst/>
                    </a:prstGeom>
                    <a:noFill/>
                  </pic:spPr>
                </pic:pic>
              </a:graphicData>
            </a:graphic>
          </wp:anchor>
        </w:drawing>
        <w:drawing>
          <wp:anchor simplePos="0" relativeHeight="251657728" behindDoc="1" locked="0" layoutInCell="0" allowOverlap="1">
            <wp:simplePos x="0" y="0"/>
            <wp:positionH relativeFrom="column">
              <wp:posOffset>5504180</wp:posOffset>
            </wp:positionH>
            <wp:positionV relativeFrom="paragraph">
              <wp:posOffset>-175260</wp:posOffset>
            </wp:positionV>
            <wp:extent cx="93980"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3980" cy="188595"/>
                    </a:xfrm>
                    <a:prstGeom prst="rect">
                      <a:avLst/>
                    </a:prstGeom>
                    <a:noFill/>
                  </pic:spPr>
                </pic:pic>
              </a:graphicData>
            </a:graphic>
          </wp:anchor>
        </w:drawing>
      </w:r>
    </w:p>
    <w:p>
      <w:pPr>
        <w:ind w:left="200" w:right="540" w:hanging="192"/>
        <w:spacing w:after="0"/>
        <w:tabs>
          <w:tab w:leader="none" w:pos="165"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Audit fees include amounts billed to us related to annual financial statement audit work, quarterly financial statement reviews and reviews of SEC registration statements.</w:t>
      </w:r>
    </w:p>
    <w:p>
      <w:pPr>
        <w:spacing w:after="0" w:line="215" w:lineRule="exact"/>
        <w:rPr>
          <w:rFonts w:ascii="Times New Roman" w:cs="Times New Roman" w:eastAsia="Times New Roman" w:hAnsi="Times New Roman"/>
          <w:sz w:val="20"/>
          <w:szCs w:val="20"/>
          <w:color w:val="auto"/>
          <w:vertAlign w:val="superscript"/>
        </w:rPr>
      </w:pPr>
    </w:p>
    <w:p>
      <w:pPr>
        <w:ind w:left="180" w:hanging="172"/>
        <w:spacing w:after="0" w:line="217" w:lineRule="auto"/>
        <w:tabs>
          <w:tab w:leader="none" w:pos="18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Audit-related fees include amounts billed to us for accounting research tools.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accordance with our Audit Committee pre-approval policy, all audit services performed for us by our independent registered public accounting firm were pre-approved by the Audit Committee of our Board.</w:t>
      </w:r>
    </w:p>
    <w:p>
      <w:pPr>
        <w:spacing w:after="0" w:line="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pre-approval policy provides for categorical pre-approval of specified audit and permissible non-audit services. Services to be provided by our independent registered public accounting firm that are not within the category of pre-approved services must be approved by the Audit Committee prior to engagement, regardless of the service being requested or the dollar amount involved.</w:t>
      </w:r>
    </w:p>
    <w:p>
      <w:pPr>
        <w:spacing w:after="0" w:line="6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Audit Committee may delegate pre-approval authority to one or more of its members. The member or members to whom such authority is delegated shall report any pre-approval decisions to the Audit Committee at its next scheduled meeting. The Audit Committee does not delegate to management its responsibilities to pre-approve services to be performed by our independent registered public accounting firm.</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27" w:name="page28"/>
    <w:bookmarkEnd w:id="2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As part of its oversight of our financial statements, the Audit Committee reviewed and discussed with both management and PricewaterhouseCoopers LLP, our independent registered public accounting firm, our consolidated financial statements filed with the SEC for the fiscal year ended December 31, 2025. Management advised the Audit Committee that all financial statements were prepared in accordance with U.S. GAAP, and reviewed significant accounting issues with the Audit Committee. The Audit Committee also discussed with PricewaterhouseCoopers LLP the matters required to be discussed by Public Company Accounting Oversight Board Auditing Standard No. 16, </w:t>
      </w:r>
      <w:r>
        <w:rPr>
          <w:rFonts w:ascii="Times New Roman" w:cs="Times New Roman" w:eastAsia="Times New Roman" w:hAnsi="Times New Roman"/>
          <w:sz w:val="18"/>
          <w:szCs w:val="18"/>
          <w:i w:val="1"/>
          <w:iCs w:val="1"/>
          <w:color w:val="auto"/>
        </w:rPr>
        <w:t>Communication with Audit Committees</w:t>
      </w:r>
      <w:r>
        <w:rPr>
          <w:rFonts w:ascii="Times New Roman" w:cs="Times New Roman" w:eastAsia="Times New Roman" w:hAnsi="Times New Roman"/>
          <w:sz w:val="18"/>
          <w:szCs w:val="18"/>
          <w:color w:val="auto"/>
        </w:rPr>
        <w:t>, as amended, and by the Auditing Standards Board of the American Institute of Certified Public Accountants.</w:t>
      </w:r>
    </w:p>
    <w:p>
      <w:pPr>
        <w:spacing w:after="0" w:line="7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Audit Committee has established a pre-approval policy that describes the permitted audit, audit-related, tax and other services to be provided by our independent registered public accounting firm. Pursuant to the policy, the Audit Committee pre-approves the audit and non-audit services performed by PricewaterhouseCoopers LLP in order to assure that the provision of such services does not impair the firm’s independence.</w:t>
      </w:r>
    </w:p>
    <w:p>
      <w:pPr>
        <w:spacing w:after="0" w:line="6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Any request for audit, audit-related, tax and other services that have not received general pre-approval must be submitted to the Audit Committee for specific pre-approval in accordance with its pre-approval policy, irrespective of the amount of fees associated with such services, and cannot commence until such approval has been granted. Normally, pre-approval is provided at regularly scheduled meetings of the Audit Committee. However, the Audit Committee may delegate pre-approval authority to one or more of its members. The member or members to whom such authority is delegated must report any pre-approval decisions to the Audit Committee at its next scheduled meeting. The Audit Committee does not delegate its responsibilities to pre-approve services performed by PricewaterhouseCoopers LLP to management.</w:t>
      </w:r>
    </w:p>
    <w:p>
      <w:pPr>
        <w:spacing w:after="0" w:line="7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Audit Committee received and reviewed the written disclosures and the letter from PricewaterhouseCoopers LLP required by applicable requirements of the Public Company Accounting Oversight Board regarding PricewaterhouseCoopers LLP’s communications with the Audit Committee concerning independence, and has discussed with PricewaterhouseCoopers LLP its independence. The Audit Committee has reviewed the audit fees paid by us to PricewaterhouseCoopers LLP. It has also reviewed non-audit services and fees to assure compliance with our and the Audit Committee’s policies restricting PricewaterhouseCoopers LLP from performing services that might impair its independence.</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Based on the reviews and discussions referred to above, the Audit Committee recommended to the Board that our audited consolidated financial statements as of and for the year ended December 31, 2025 be included in our annual report on Form 10-K for the fiscal year ended December 31, 2025 for filing with the SEC. The Audit Committee also recommended the appointment of PricewaterhouseCoopers LLP to serve as our independent registered public accounting firm for the fiscal year ending December 31, 2026.</w:t>
      </w:r>
    </w:p>
    <w:p>
      <w:pPr>
        <w:spacing w:after="0" w:line="6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Audit Committee Members:</w:t>
      </w:r>
    </w:p>
    <w:p>
      <w:pPr>
        <w:spacing w:after="0" w:line="18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Randy A. Daniels, Chairperson</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Justin M. Murphy</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Yvonne D. Nelson</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William L. Ramseyer</w:t>
      </w:r>
    </w:p>
    <w:p>
      <w:pPr>
        <w:spacing w:after="0" w:line="18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material in this Audit Committee report is not “soliciting material,” is not deemed “filed” with the SEC, and is not to be incorporated by reference into any of our filings under the Securities Act of 1933, as amended, or the Exchange Act, whether made before or after the date hereof and irrespective of any general incorporation language in any such filing.</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8"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ratification of the appointment of PricewaterhouseCoopers LLP to serve as our independent registered public accounting firm for the fiscal year ending December 31, 2026 requires the affirmative vote of a majority of the votes cast at the Annual Meeting duly called and at which a quorum is present. Abstentions will not be included in determining the number of votes cast and, as a result, will not have any effect on the result of the vote with respect to the ratification of the appointment of PricewaterhouseCoopers LLP.</w:t>
      </w:r>
    </w:p>
    <w:p>
      <w:pPr>
        <w:spacing w:after="0" w:line="68" w:lineRule="exact"/>
        <w:rPr>
          <w:sz w:val="20"/>
          <w:szCs w:val="20"/>
          <w:color w:val="auto"/>
        </w:rPr>
      </w:pPr>
    </w:p>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THE BOARD UNANIMOUSLY RECOMMENDS THAT YOU VOTE “FOR” RATIFICATION OF THE APPOINTMENT OF PRICEWATERHOUSECOOPERS LLP AS OUR INDEPENDENT REGISTERED PUBLIC ACCOUNTING FIRM FOR THE FISCAL YEAR ENDING DECEMBER 31, 2026.</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8" w:right="35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SUBMISSION OF STOCKHOLDER PROPOSALS</w:t>
      </w:r>
    </w:p>
    <w:p>
      <w:pPr>
        <w:spacing w:after="0" w:line="12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Any stockholder desiring to present a proposal, including a nomination or other business, at our 2027 annual meeting of stockholders, whether or not the proposal is intended to be included in the proxy statement for that meeting, must give advance written notice thereof containing the information required by our bylaws, including the information required by Rule 14a-19(b) under the Exchange Act, to our principal executive offices located at 390 Madison Avenue, New York, New York 10017, Attention: Secretary, no earlier than December 27, 2026 and no later than 5:00 p.m., Eastern Time, on January 26, 2027; provided, however, that if the date of the 2027 annual meeting of stockholders is advanced or delayed by more than thirty days from the first anniversary of the date of the Annual Meeting, written notice of a stockholder proposal must be delivered not earlier than the 150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prior to the date of the 2027 annual meeting of stockholders and not later than 5:00 p.m., Eastern Time, on the later of the 120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prior to the date of the 2027 annual meeting of stockholders or the tenth day following the day on which public announcement of the date of the 2027 annual meeting of stockholders is first made. Pursuant to Rule 14a-8(e)(3) under the Exchange Act, such deadline for the delivery of such stockholder proposal will be a reasonable time prior to the date we begin to print and send our proxy materials. Any stockholder proposals not received by us by the applicable date in the previous sentence will be considered untimely. Rule 14a-4(c) under the Exchange Act permits our management to exercise discretionary voting authority under proxies it solicits with respect to such untimely proposals. We presently anticipate holding the 2027 annual meeting of stockholders in August 2027. Stockholders also must follow the procedures prescribed in Rule 14a-8 under the Exchange Act.</w:t>
      </w:r>
    </w:p>
    <w:p>
      <w:pPr>
        <w:spacing w:after="0" w:line="9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to the notice and information requirements contained in our bylaws, and consistent with the universal proxy rules, stockholders who in connection with the 2027 annual meeting of stockholders intend to solicit proxies in support of director nominees other than our nominees must provide notice that sets forth the information required by Rule 14a-19 under the Exchange Act no later than June 8, 2027, unless the date of the 2027 annual meeting of stockholders has changed by more than 30 calendar days from the anniversary date of the 2026 Annual Meeting, in which case such notice must be provided by the later of 60 calendar days prior to the date of the 2027 annual meeting of stockholders or the tenth calendar day following the day on which public announcement of the date of the 2027 annual meeting of stockholders is first made by us.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8" w:right="35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DELIVERY OF DOCUMENTS TO SECURITY HOLDERS SHARING AN ADDRESS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proxy statements and annual reports with respect to two or more stockholders sharing the same address and same last name by delivering a single proxy statement and annual report addressed to those stockholders. This process, which is commonly referred to as “householding,” potentially means extra convenience for stockholders and reduced printing and delivery costs for companies. A single proxy statement and annual report may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you submit contrary instructions. Stockholders who participate in householding will continue to receive a separate notice or, if they request paper copies, a separate proxy card, and will remain entitled to vote their individual shares separately. If, at any time, you no longer wish to participate in householding, please notify your broker or financial advisor. Stockholders who share an address and would like to request householding of their communications should contact their broker. In addition, upon written or oral request, we will deliver a separate copy of the proxy statement and annual report to a stockholder at a shared address to which a single copy of such documents was previously delivered.</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 TO COME BEFORE THE MEETING</w:t>
      </w:r>
    </w:p>
    <w:p>
      <w:pPr>
        <w:spacing w:after="0" w:line="12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Our Board is not aware of any matters that will be presented for action at the Annual Meeting other than the matters set forth herein. Should any other matters requiring a vote of stockholders arise, it is intended that the proxies that do not contain specific instructions to the contrary will be voted in accordance with the judgment of the persons named in the enclosed form of proxy.</w:t>
      </w:r>
    </w:p>
    <w:p>
      <w:pPr>
        <w:spacing w:after="0" w:line="6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PLEASE VOTE PROMPTLY BY SIGNING AND DATING THE ENCLOSED PROXY CARD AND RETURNING IT IN THE ACCOMPANYING POSTAGE-PAID RETURN ENVELOPE. NO POSTAGE IS REQUIRED IF MAILED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9111615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1014095</wp:posOffset>
            </wp:positionH>
            <wp:positionV relativeFrom="page">
              <wp:posOffset>706120</wp:posOffset>
            </wp:positionV>
            <wp:extent cx="5528945" cy="7149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5528945" cy="7149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9085580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1014095</wp:posOffset>
            </wp:positionH>
            <wp:positionV relativeFrom="page">
              <wp:posOffset>706120</wp:posOffset>
            </wp:positionV>
            <wp:extent cx="5529580" cy="71405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5529580" cy="7140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04"/>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
      <w:numFmt w:val="bullet"/>
      <w:start w:val="1"/>
    </w:lvl>
  </w:abstractNum>
  <w:abstractNum w:abstractNumId="5">
    <w:nsid w:val="1190CDE7"/>
    <w:multiLevelType w:val="hybridMultilevel"/>
    <w:lvl w:ilvl="0">
      <w:lvlJc w:val="left"/>
      <w:lvlText w:val=" "/>
      <w:numFmt w:val="bullet"/>
      <w:start w:val="1"/>
    </w:lvl>
  </w:abstractNum>
  <w:abstractNum w:abstractNumId="6">
    <w:nsid w:val="66EF438D"/>
    <w:multiLevelType w:val="hybridMultilevel"/>
    <w:lvl w:ilvl="0">
      <w:lvlJc w:val="left"/>
      <w:lvlText w:val=" "/>
      <w:numFmt w:val="bullet"/>
      <w:start w:val="1"/>
    </w:lvl>
  </w:abstractNum>
  <w:abstractNum w:abstractNumId="7">
    <w:nsid w:val="140E0F76"/>
    <w:multiLevelType w:val="hybridMultilevel"/>
    <w:lvl w:ilvl="0">
      <w:lvlJc w:val="left"/>
      <w:lvlText w:val=" "/>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 "/>
      <w:numFmt w:val="bullet"/>
      <w:start w:val="1"/>
    </w:lvl>
  </w:abstractNum>
  <w:abstractNum w:abstractNumId="12">
    <w:nsid w:val="1BEFD79F"/>
    <w:multiLevelType w:val="hybridMultilevel"/>
    <w:lvl w:ilvl="0">
      <w:lvlJc w:val="left"/>
      <w:lvlText w:val=" "/>
      <w:numFmt w:val="bullet"/>
      <w:start w:val="1"/>
    </w:lvl>
  </w:abstractNum>
  <w:abstractNum w:abstractNumId="13">
    <w:nsid w:val="41A7C4C9"/>
    <w:multiLevelType w:val="hybridMultilevel"/>
    <w:lvl w:ilvl="0">
      <w:lvlJc w:val="left"/>
      <w:lvlText w:val=" "/>
      <w:numFmt w:val="bullet"/>
      <w:start w:val="1"/>
    </w:lvl>
  </w:abstractNum>
  <w:abstractNum w:abstractNumId="14">
    <w:nsid w:val="6B68079A"/>
    <w:multiLevelType w:val="hybridMultilevel"/>
    <w:lvl w:ilvl="0">
      <w:lvlJc w:val="left"/>
      <w:lvlText w:val=" "/>
      <w:numFmt w:val="bullet"/>
      <w:start w:val="1"/>
    </w:lvl>
  </w:abstractNum>
  <w:abstractNum w:abstractNumId="15">
    <w:nsid w:val="4E6AFB66"/>
    <w:multiLevelType w:val="hybridMultilevel"/>
    <w:lvl w:ilvl="0">
      <w:lvlJc w:val="left"/>
      <w:lvlText w:val=" "/>
      <w:numFmt w:val="bullet"/>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2026-05-26T13:55:54Z</dcterms:created>
  <dcterms:modified xsi:type="dcterms:W3CDTF">2026-05-26T13:55:54Z</dcterms:modified>
</cp:coreProperties>
</file>