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688975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715010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104775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6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30,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200025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J.P. Morgan Real Estate Income Trust, Inc.</w:t>
      </w:r>
    </w:p>
    <w:p>
      <w:pPr>
        <w:spacing w:after="0" w:line="7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187325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76" w:lineRule="exact"/>
        <w:rPr>
          <w:sz w:val="24"/>
          <w:szCs w:val="24"/>
          <w:color w:val="auto"/>
        </w:rPr>
      </w:pPr>
    </w:p>
    <w:tbl>
      <w:tblPr>
        <w:tblLayout w:type="fixed"/>
        <w:tblInd w:w="1040" w:type="dxa"/>
        <w:tblCellMar>
          <w:top w:w="0" w:type="dxa"/>
          <w:left w:w="0" w:type="dxa"/>
          <w:bottom w:w="0" w:type="dxa"/>
          <w:right w:w="0" w:type="dxa"/>
        </w:tblCellMar>
      </w:tblPr>
      <w:tr>
        <w:trPr>
          <w:trHeight w:val="238"/>
        </w:trPr>
        <w:tc>
          <w:tcPr>
            <w:tcW w:w="3040" w:type="dxa"/>
            <w:vAlign w:val="bottom"/>
          </w:tcPr>
          <w:p>
            <w:pPr>
              <w:jc w:val="center"/>
              <w:ind w:right="661"/>
              <w:spacing w:after="0"/>
              <w:rPr>
                <w:sz w:val="20"/>
                <w:szCs w:val="20"/>
                <w:color w:val="auto"/>
              </w:rPr>
            </w:pPr>
            <w:r>
              <w:rPr>
                <w:rFonts w:ascii="Times New Roman" w:cs="Times New Roman" w:eastAsia="Times New Roman" w:hAnsi="Times New Roman"/>
                <w:sz w:val="18"/>
                <w:szCs w:val="18"/>
                <w:b w:val="1"/>
                <w:bCs w:val="1"/>
                <w:color w:val="auto"/>
              </w:rPr>
              <w:t>Maryland</w:t>
            </w:r>
          </w:p>
        </w:tc>
        <w:tc>
          <w:tcPr>
            <w:tcW w:w="3380" w:type="dxa"/>
            <w:vAlign w:val="bottom"/>
          </w:tcPr>
          <w:p>
            <w:pPr>
              <w:jc w:val="right"/>
              <w:ind w:right="1341"/>
              <w:spacing w:after="0"/>
              <w:rPr>
                <w:sz w:val="20"/>
                <w:szCs w:val="20"/>
                <w:color w:val="auto"/>
              </w:rPr>
            </w:pPr>
            <w:r>
              <w:rPr>
                <w:rFonts w:ascii="Times New Roman" w:cs="Times New Roman" w:eastAsia="Times New Roman" w:hAnsi="Times New Roman"/>
                <w:sz w:val="18"/>
                <w:szCs w:val="18"/>
                <w:b w:val="1"/>
                <w:bCs w:val="1"/>
                <w:color w:val="auto"/>
              </w:rPr>
              <w:t>333-288565</w:t>
            </w:r>
          </w:p>
        </w:tc>
        <w:tc>
          <w:tcPr>
            <w:tcW w:w="2120" w:type="dxa"/>
            <w:vAlign w:val="bottom"/>
          </w:tcPr>
          <w:p>
            <w:pPr>
              <w:jc w:val="right"/>
              <w:ind w:right="24"/>
              <w:spacing w:after="0"/>
              <w:rPr>
                <w:sz w:val="20"/>
                <w:szCs w:val="20"/>
                <w:color w:val="auto"/>
              </w:rPr>
            </w:pPr>
            <w:r>
              <w:rPr>
                <w:rFonts w:ascii="Times New Roman" w:cs="Times New Roman" w:eastAsia="Times New Roman" w:hAnsi="Times New Roman"/>
                <w:sz w:val="18"/>
                <w:szCs w:val="18"/>
                <w:b w:val="1"/>
                <w:bCs w:val="1"/>
                <w:color w:val="auto"/>
              </w:rPr>
              <w:t>87-3439916</w:t>
            </w:r>
          </w:p>
        </w:tc>
      </w:tr>
      <w:tr>
        <w:trPr>
          <w:trHeight w:val="199"/>
        </w:trPr>
        <w:tc>
          <w:tcPr>
            <w:tcW w:w="3040" w:type="dxa"/>
            <w:vAlign w:val="bottom"/>
          </w:tcPr>
          <w:p>
            <w:pPr>
              <w:jc w:val="center"/>
              <w:ind w:right="68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38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120" w:type="dxa"/>
            <w:vAlign w:val="bottom"/>
          </w:tcPr>
          <w:p>
            <w:pPr>
              <w:jc w:val="center"/>
              <w:ind w:left="96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40" w:type="dxa"/>
            <w:vAlign w:val="bottom"/>
          </w:tcPr>
          <w:p>
            <w:pPr>
              <w:jc w:val="center"/>
              <w:ind w:right="68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380" w:type="dxa"/>
            <w:vAlign w:val="bottom"/>
          </w:tcPr>
          <w:p>
            <w:pPr>
              <w:spacing w:after="0"/>
              <w:rPr>
                <w:sz w:val="15"/>
                <w:szCs w:val="15"/>
                <w:color w:val="auto"/>
              </w:rPr>
            </w:pPr>
          </w:p>
        </w:tc>
        <w:tc>
          <w:tcPr>
            <w:tcW w:w="2120" w:type="dxa"/>
            <w:vAlign w:val="bottom"/>
          </w:tcPr>
          <w:p>
            <w:pPr>
              <w:jc w:val="center"/>
              <w:ind w:left="98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02"/>
        </w:trPr>
        <w:tc>
          <w:tcPr>
            <w:tcW w:w="3040" w:type="dxa"/>
            <w:vAlign w:val="bottom"/>
          </w:tcPr>
          <w:p>
            <w:pPr>
              <w:jc w:val="center"/>
              <w:ind w:right="661"/>
              <w:spacing w:after="0"/>
              <w:rPr>
                <w:sz w:val="20"/>
                <w:szCs w:val="20"/>
                <w:color w:val="auto"/>
              </w:rPr>
            </w:pPr>
            <w:r>
              <w:rPr>
                <w:rFonts w:ascii="Times New Roman" w:cs="Times New Roman" w:eastAsia="Times New Roman" w:hAnsi="Times New Roman"/>
                <w:sz w:val="18"/>
                <w:szCs w:val="18"/>
                <w:b w:val="1"/>
                <w:bCs w:val="1"/>
                <w:color w:val="auto"/>
                <w:w w:val="98"/>
              </w:rPr>
              <w:t>390 Madison Avenue</w:t>
            </w:r>
          </w:p>
        </w:tc>
        <w:tc>
          <w:tcPr>
            <w:tcW w:w="338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238"/>
        </w:trPr>
        <w:tc>
          <w:tcPr>
            <w:tcW w:w="3040" w:type="dxa"/>
            <w:vAlign w:val="bottom"/>
          </w:tcPr>
          <w:p>
            <w:pPr>
              <w:jc w:val="center"/>
              <w:ind w:right="661"/>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3380" w:type="dxa"/>
            <w:vAlign w:val="bottom"/>
          </w:tcPr>
          <w:p>
            <w:pPr>
              <w:spacing w:after="0"/>
              <w:rPr>
                <w:sz w:val="20"/>
                <w:szCs w:val="20"/>
                <w:color w:val="auto"/>
              </w:rPr>
            </w:pPr>
          </w:p>
        </w:tc>
        <w:tc>
          <w:tcPr>
            <w:tcW w:w="212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10017</w:t>
            </w:r>
          </w:p>
        </w:tc>
      </w:tr>
      <w:tr>
        <w:trPr>
          <w:trHeight w:val="215"/>
        </w:trPr>
        <w:tc>
          <w:tcPr>
            <w:tcW w:w="3040" w:type="dxa"/>
            <w:vAlign w:val="bottom"/>
          </w:tcPr>
          <w:p>
            <w:pPr>
              <w:jc w:val="center"/>
              <w:ind w:right="66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380" w:type="dxa"/>
            <w:vAlign w:val="bottom"/>
          </w:tcPr>
          <w:p>
            <w:pPr>
              <w:spacing w:after="0"/>
              <w:rPr>
                <w:sz w:val="18"/>
                <w:szCs w:val="18"/>
                <w:color w:val="auto"/>
              </w:rPr>
            </w:pPr>
          </w:p>
        </w:tc>
        <w:tc>
          <w:tcPr>
            <w:tcW w:w="2120" w:type="dxa"/>
            <w:vAlign w:val="bottom"/>
          </w:tcPr>
          <w:p>
            <w:pPr>
              <w:jc w:val="center"/>
              <w:ind w:left="98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7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Registrant’s Telephone Number, Including Area Code: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212) 270-6000</w:t>
      </w:r>
    </w:p>
    <w:p>
      <w:pPr>
        <w:spacing w:after="0" w:line="18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144145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ind w:right="680"/>
        <w:spacing w:after="0" w:line="266"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89" w:lineRule="exact"/>
        <w:rPr>
          <w:sz w:val="24"/>
          <w:szCs w:val="24"/>
          <w:color w:val="auto"/>
        </w:rPr>
      </w:pPr>
    </w:p>
    <w:p>
      <w:pPr>
        <w:ind w:left="520" w:hanging="494"/>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520" w:hanging="494"/>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520" w:hanging="494"/>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520" w:hanging="494"/>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0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 None</w:t>
      </w:r>
    </w:p>
    <w:p>
      <w:pPr>
        <w:sectPr>
          <w:pgSz w:w="11900" w:h="16838" w:orient="portrait"/>
          <w:cols w:equalWidth="0" w:num="1">
            <w:col w:w="11240"/>
          </w:cols>
          <w:pgMar w:left="320" w:top="1226" w:right="339" w:bottom="1440" w:gutter="0" w:footer="0" w:header="0"/>
        </w:sectPr>
      </w:pPr>
    </w:p>
    <w:p>
      <w:pPr>
        <w:spacing w:after="0" w:line="200" w:lineRule="exact"/>
        <w:rPr>
          <w:sz w:val="24"/>
          <w:szCs w:val="24"/>
          <w:color w:val="auto"/>
        </w:rPr>
      </w:pPr>
    </w:p>
    <w:p>
      <w:pPr>
        <w:spacing w:after="0" w:line="208" w:lineRule="exact"/>
        <w:rPr>
          <w:sz w:val="24"/>
          <w:szCs w:val="24"/>
          <w:color w:val="auto"/>
        </w:rPr>
      </w:pPr>
    </w:p>
    <w:p>
      <w:pPr>
        <w:ind w:left="1740"/>
        <w:spacing w:after="0"/>
        <w:rPr>
          <w:sz w:val="20"/>
          <w:szCs w:val="20"/>
          <w:color w:val="auto"/>
        </w:rPr>
      </w:pPr>
      <w:r>
        <w:rPr>
          <w:rFonts w:ascii="Times New Roman" w:cs="Times New Roman" w:eastAsia="Times New Roman" w:hAnsi="Times New Roman"/>
          <w:sz w:val="14"/>
          <w:szCs w:val="14"/>
          <w:b w:val="1"/>
          <w:bCs w:val="1"/>
          <w:color w:val="auto"/>
        </w:rPr>
        <w:t>Title of each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28803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80360"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4"/>
          <w:szCs w:val="14"/>
          <w:b w:val="1"/>
          <w:bCs w:val="1"/>
          <w:color w:val="auto"/>
        </w:rPr>
        <w:t>Trading</w:t>
      </w:r>
    </w:p>
    <w:p>
      <w:pPr>
        <w:spacing w:after="0" w:line="19"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4"/>
          <w:szCs w:val="14"/>
          <w:b w:val="1"/>
          <w:bCs w:val="1"/>
          <w:color w:val="auto"/>
        </w:rPr>
        <w:t>Symbol(s)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-342265</wp:posOffset>
            </wp:positionH>
            <wp:positionV relativeFrom="paragraph">
              <wp:posOffset>39370</wp:posOffset>
            </wp:positionV>
            <wp:extent cx="10718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71880"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8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-594360</wp:posOffset>
            </wp:positionH>
            <wp:positionV relativeFrom="paragraph">
              <wp:posOffset>41910</wp:posOffset>
            </wp:positionV>
            <wp:extent cx="28892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89250" cy="8890"/>
                    </a:xfrm>
                    <a:prstGeom prst="rect">
                      <a:avLst/>
                    </a:prstGeom>
                    <a:noFill/>
                  </pic:spPr>
                </pic:pic>
              </a:graphicData>
            </a:graphic>
          </wp:anchor>
        </w:drawing>
      </w:r>
    </w:p>
    <w:p>
      <w:pPr>
        <w:spacing w:after="0" w:line="204" w:lineRule="exact"/>
        <w:rPr>
          <w:sz w:val="24"/>
          <w:szCs w:val="24"/>
          <w:color w:val="auto"/>
        </w:rPr>
      </w:pPr>
    </w:p>
    <w:p>
      <w:pPr>
        <w:sectPr>
          <w:pgSz w:w="11900" w:h="16838" w:orient="portrait"/>
          <w:cols w:equalWidth="0" w:num="3">
            <w:col w:w="4580" w:space="720"/>
            <w:col w:w="1580" w:space="720"/>
            <w:col w:w="3640"/>
          </w:cols>
          <w:pgMar w:left="320" w:top="1226" w:right="339" w:bottom="1440" w:gutter="0" w:footer="0" w:header="0"/>
          <w:type w:val="continuous"/>
        </w:sectPr>
      </w:pPr>
    </w:p>
    <w:p>
      <w:pPr>
        <w:spacing w:after="0" w:line="302"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85"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681355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26"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8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On June 30, 2026, J.P. Morgan Real Estate Income Trust, Inc. (the “Company”) declared distributions for each class of its common stock in the amount per share set forth below for record holders as of the date set forth above the table: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June 30, 2026 Record Date</w:t>
            </w:r>
          </w:p>
        </w:tc>
        <w:tc>
          <w:tcPr>
            <w:tcW w:w="28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37"/>
        </w:trPr>
        <w:tc>
          <w:tcPr>
            <w:tcW w:w="5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60" w:type="dxa"/>
            <w:vAlign w:val="bottom"/>
            <w:tcBorders>
              <w:bottom w:val="single" w:sz="8" w:color="auto"/>
            </w:tcBorders>
            <w:gridSpan w:val="2"/>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r>
      <w:tr>
        <w:trPr>
          <w:trHeight w:val="186"/>
        </w:trPr>
        <w:tc>
          <w:tcPr>
            <w:tcW w:w="5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Gross Distribution</w:t>
            </w:r>
          </w:p>
        </w:tc>
        <w:tc>
          <w:tcPr>
            <w:tcW w:w="120" w:type="dxa"/>
            <w:vAlign w:val="bottom"/>
          </w:tcPr>
          <w:p>
            <w:pPr>
              <w:spacing w:after="0"/>
              <w:rPr>
                <w:sz w:val="16"/>
                <w:szCs w:val="16"/>
                <w:color w:val="auto"/>
              </w:rPr>
            </w:pPr>
          </w:p>
        </w:tc>
        <w:tc>
          <w:tcPr>
            <w:tcW w:w="1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 Servicing Fee</w:t>
            </w:r>
          </w:p>
        </w:tc>
        <w:tc>
          <w:tcPr>
            <w:tcW w:w="280" w:type="dxa"/>
            <w:vAlign w:val="bottom"/>
          </w:tcPr>
          <w:p>
            <w:pPr>
              <w:spacing w:after="0"/>
              <w:rPr>
                <w:sz w:val="16"/>
                <w:szCs w:val="16"/>
                <w:color w:val="auto"/>
              </w:rPr>
            </w:pPr>
          </w:p>
        </w:tc>
        <w:tc>
          <w:tcPr>
            <w:tcW w:w="162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Net Distribution</w:t>
            </w:r>
          </w:p>
        </w:tc>
      </w:tr>
      <w:tr>
        <w:trPr>
          <w:trHeight w:val="37"/>
        </w:trPr>
        <w:tc>
          <w:tcPr>
            <w:tcW w:w="530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r>
      <w:tr>
        <w:trPr>
          <w:trHeight w:val="243"/>
        </w:trPr>
        <w:tc>
          <w:tcPr>
            <w:tcW w:w="540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Class I Common Stock</w:t>
            </w:r>
          </w:p>
        </w:tc>
        <w:tc>
          <w:tcPr>
            <w:tcW w:w="24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0.0423</w:t>
            </w:r>
          </w:p>
        </w:tc>
        <w:tc>
          <w:tcPr>
            <w:tcW w:w="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CFF0FC"/>
            </w:tcBorders>
            <w:gridSpan w:val="2"/>
            <w:shd w:val="clear" w:color="auto" w:fill="CFF0FC"/>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0.0423</w:t>
            </w:r>
          </w:p>
        </w:tc>
      </w:tr>
      <w:tr>
        <w:trPr>
          <w:trHeight w:val="243"/>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Class D Common Stock</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0.0423</w:t>
            </w:r>
          </w:p>
        </w:tc>
        <w:tc>
          <w:tcPr>
            <w:tcW w:w="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0.0423</w:t>
            </w:r>
          </w:p>
        </w:tc>
      </w:tr>
      <w:tr>
        <w:trPr>
          <w:trHeight w:val="27"/>
        </w:trPr>
        <w:tc>
          <w:tcPr>
            <w:tcW w:w="5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540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Class T Common Stock</w:t>
            </w:r>
          </w:p>
        </w:tc>
        <w:tc>
          <w:tcPr>
            <w:tcW w:w="24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0.0423</w:t>
            </w:r>
          </w:p>
        </w:tc>
        <w:tc>
          <w:tcPr>
            <w:tcW w:w="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(0.0080)</w:t>
            </w:r>
          </w:p>
        </w:tc>
        <w:tc>
          <w:tcPr>
            <w:tcW w:w="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0.0343</w:t>
            </w:r>
          </w:p>
        </w:tc>
      </w:tr>
      <w:tr>
        <w:trPr>
          <w:trHeight w:val="243"/>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Class E Common Stock</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0.0423</w:t>
            </w:r>
          </w:p>
        </w:tc>
        <w:tc>
          <w:tcPr>
            <w:tcW w:w="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0.0423</w:t>
            </w:r>
          </w:p>
        </w:tc>
      </w:tr>
      <w:tr>
        <w:trPr>
          <w:trHeight w:val="27"/>
        </w:trPr>
        <w:tc>
          <w:tcPr>
            <w:tcW w:w="5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43"/>
        </w:trPr>
        <w:tc>
          <w:tcPr>
            <w:tcW w:w="54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Class Y Common Stock</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0.0423</w:t>
            </w: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(0.0079)</w:t>
            </w:r>
          </w:p>
        </w:tc>
        <w:tc>
          <w:tcPr>
            <w:tcW w:w="8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0.0344</w:t>
            </w:r>
          </w:p>
        </w:tc>
      </w:tr>
      <w:tr>
        <w:trPr>
          <w:trHeight w:val="27"/>
        </w:trPr>
        <w:tc>
          <w:tcPr>
            <w:tcW w:w="530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64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78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1620" w:type="dxa"/>
            <w:vAlign w:val="bottom"/>
            <w:shd w:val="clear" w:color="auto" w:fill="CFF0FC"/>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4617085</wp:posOffset>
            </wp:positionH>
            <wp:positionV relativeFrom="paragraph">
              <wp:posOffset>-864870</wp:posOffset>
            </wp:positionV>
            <wp:extent cx="603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-864870</wp:posOffset>
            </wp:positionV>
            <wp:extent cx="603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32" w:lineRule="exact"/>
        <w:rPr>
          <w:sz w:val="20"/>
          <w:szCs w:val="20"/>
          <w:color w:val="auto"/>
        </w:rPr>
      </w:pPr>
    </w:p>
    <w:p>
      <w:pPr>
        <w:ind w:right="120"/>
        <w:spacing w:after="0" w:line="245" w:lineRule="auto"/>
        <w:rPr>
          <w:sz w:val="20"/>
          <w:szCs w:val="20"/>
          <w:color w:val="auto"/>
        </w:rPr>
      </w:pPr>
      <w:r>
        <w:rPr>
          <w:rFonts w:ascii="Times New Roman" w:cs="Times New Roman" w:eastAsia="Times New Roman" w:hAnsi="Times New Roman"/>
          <w:sz w:val="18"/>
          <w:szCs w:val="18"/>
          <w:color w:val="auto"/>
        </w:rPr>
        <w:t>As of June 30, 2026, the Company had no outstanding shares of Class S or Class X common stock. The net distributions for each class of common stock (which represents the gross distributions less stockholder servicing fees for the applicable class of common stock) are payable to stockholders of record immediately following 5:00 p.m. Eastern Time on the record date set forth above. The stockholder servicing fee on the Company’s Class D common stock was waived for June 2026, and the net asset value attributable to current holders of Class D shares will not be included in the computation of stockholder servicing fees charged on Class D shares in perpetuity. There is no stockholder servicing fee with respect to Class I common stock or Class E common stock. These distributions will be paid on or about July 6, 2026 and will be paid in cash or reinvested in shares of the Company’s common stock for stockholders participating in the Company’s distribution reinvestment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b w:val="1"/>
          <w:bCs w:val="1"/>
          <w:color w:val="auto"/>
        </w:rPr>
        <w:t>J.P. Morgan Real Estate Income Trust, Inc.</w:t>
      </w:r>
    </w:p>
    <w:p>
      <w:pPr>
        <w:spacing w:after="0" w:line="270" w:lineRule="exact"/>
        <w:rPr>
          <w:sz w:val="20"/>
          <w:szCs w:val="20"/>
          <w:color w:val="auto"/>
        </w:rPr>
      </w:pPr>
    </w:p>
    <w:p>
      <w:pPr>
        <w:ind w:left="20"/>
        <w:spacing w:after="0"/>
        <w:tabs>
          <w:tab w:leader="none" w:pos="680" w:val="left"/>
          <w:tab w:leader="none" w:pos="5560" w:val="left"/>
          <w:tab w:leader="none" w:pos="60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June 30,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Lawrence A. Goodfield,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34290</wp:posOffset>
            </wp:positionV>
            <wp:extent cx="330898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57"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Lawrence A. Goodfield, Jr.</w:t>
      </w:r>
    </w:p>
    <w:p>
      <w:pPr>
        <w:spacing w:after="0" w:line="27"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Chief Financial Officer and Treasurer</w:t>
      </w:r>
    </w:p>
    <w:sectPr>
      <w:pgSz w:w="11900" w:h="16838" w:orient="portrait"/>
      <w:cols w:equalWidth="0" w:num="1">
        <w:col w:w="11200"/>
      </w:cols>
      <w:pgMar w:left="320" w:top="1143"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2026-06-30T12:21:53Z</dcterms:created>
  <dcterms:modified xsi:type="dcterms:W3CDTF">2026-06-30T12:21:53Z</dcterms:modified>
</cp:coreProperties>
</file>