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Registration No. 333-288565</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pPr>
      <w:r>
        <w:rPr>
          <w:rFonts w:ascii="Times New Roman;serif" w:hAnsi="Times New Roman;serif"/>
          <w:b/>
          <w:color w:val="000000"/>
          <w:sz w:val="20"/>
        </w:rPr>
        <w:t>SUPPLEMENT NO. 5</w:t>
      </w:r>
      <w:r>
        <w:rPr>
          <w:color w:val="000000"/>
        </w:rPr>
        <w:t xml:space="preserve"> </w:t>
      </w:r>
      <w:r>
        <w:rPr>
          <w:rFonts w:ascii="Times New Roman;serif" w:hAnsi="Times New Roman;serif"/>
          <w:b/>
          <w:color w:val="000000"/>
          <w:sz w:val="20"/>
        </w:rPr>
        <w:t>DATED AUGUST 14,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THE PROSPECTUS DATED APRIL 15,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September 1, 2026;</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calculation of our July 31, 2026 net asset value (“NAV”) per share for each class of our common stock;</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 xml:space="preserve">to provide an update on the status of our public offering; </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certain updates to our Prospectus; and</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include our Quarterly Report on Form 10-Q for the quarterly period ended June 30, 2026.</w:t>
      </w:r>
    </w:p>
    <w:p>
      <w:pPr>
        <w:pStyle w:val="TextBody"/>
        <w:bidi w:val="0"/>
        <w:spacing w:lineRule="auto" w:line="276" w:before="200" w:after="120"/>
        <w:jc w:val="left"/>
        <w:rPr/>
      </w:pPr>
      <w:r>
        <w:rPr>
          <w:rFonts w:ascii="Times New Roman;serif" w:hAnsi="Times New Roman;serif"/>
          <w:b/>
          <w:color w:val="000000"/>
          <w:sz w:val="20"/>
        </w:rPr>
        <w:t>September 1, 2026</w:t>
      </w:r>
      <w:r>
        <w:rPr>
          <w:color w:val="000000"/>
        </w:rPr>
        <w:t xml:space="preserve"> </w:t>
      </w:r>
      <w:r>
        <w:rPr>
          <w:rFonts w:ascii="Times New Roman;serif" w:hAnsi="Times New Roman;serif"/>
          <w:b/>
          <w:color w:val="000000"/>
          <w:sz w:val="20"/>
        </w:rPr>
        <w:t>Transaction Price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sold in this offering for subscriptions accepted as of September 1, 2026 (and repurchases as of August 31, 2026) is as follows:</w:t>
      </w:r>
    </w:p>
    <w:tbl>
      <w:tblPr>
        <w:tblW w:w="2175" w:type="dxa"/>
        <w:jc w:val="center"/>
        <w:tblInd w:w="0" w:type="dxa"/>
        <w:tblLayout w:type="fixed"/>
        <w:tblCellMar>
          <w:top w:w="28" w:type="dxa"/>
          <w:left w:w="28" w:type="dxa"/>
          <w:bottom w:w="28" w:type="dxa"/>
          <w:right w:w="28" w:type="dxa"/>
        </w:tblCellMar>
      </w:tblPr>
      <w:tblGrid>
        <w:gridCol w:w="266"/>
        <w:gridCol w:w="234"/>
        <w:gridCol w:w="235"/>
        <w:gridCol w:w="309"/>
        <w:gridCol w:w="904"/>
        <w:gridCol w:w="2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Transaction Price</w:t>
              <w:br/>
              <w:t>(per share)</w:t>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0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July 31, 2026, we had no outstanding Class S shares. As a result, the transaction price for our Class S shares is equal to the NAV per share for our Class E shares as of July 31,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July 31, 2026 NAV Per Share</w:t>
      </w:r>
    </w:p>
    <w:p>
      <w:pPr>
        <w:pStyle w:val="TextBody"/>
        <w:bidi w:val="0"/>
        <w:spacing w:lineRule="auto" w:line="276" w:before="0" w:after="320"/>
        <w:jc w:val="left"/>
        <w:rPr/>
      </w:pPr>
      <w:r>
        <w:rPr>
          <w:rFonts w:ascii="Times New Roman;serif" w:hAnsi="Times New Roman;serif"/>
          <w:b w:val="false"/>
          <w:color w:val="000000"/>
          <w:sz w:val="20"/>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serif" w:hAnsi="Times New Roman;serif"/>
          <w:b w:val="false"/>
          <w:i/>
          <w:color w:val="000000"/>
          <w:sz w:val="20"/>
        </w:rPr>
        <w:t xml:space="preserve">www.jpmreit.com. </w:t>
      </w:r>
      <w:r>
        <w:rPr>
          <w:rFonts w:ascii="Times New Roman;serif" w:hAnsi="Times New Roman;serif"/>
          <w:b w:val="false"/>
          <w:color w:val="000000"/>
          <w:sz w:val="20"/>
        </w:rPr>
        <w:t>Please refer to “Net Asset Value Calculation and Valuation Guidelines” in the Prospectus for how our NAV is determined. The Adviser is ultimately responsible for determining our NAV.</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July 31, 2026 ($ and shares/units in thousands):</w:t>
      </w:r>
    </w:p>
    <w:tbl>
      <w:tblPr>
        <w:tblW w:w="6498" w:type="dxa"/>
        <w:jc w:val="left"/>
        <w:tblInd w:w="0" w:type="dxa"/>
        <w:tblLayout w:type="fixed"/>
        <w:tblCellMar>
          <w:top w:w="28" w:type="dxa"/>
          <w:left w:w="28" w:type="dxa"/>
          <w:bottom w:w="28" w:type="dxa"/>
          <w:right w:w="28" w:type="dxa"/>
        </w:tblCellMar>
      </w:tblPr>
      <w:tblGrid>
        <w:gridCol w:w="1751"/>
        <w:gridCol w:w="1537"/>
        <w:gridCol w:w="1542"/>
        <w:gridCol w:w="109"/>
        <w:gridCol w:w="109"/>
        <w:gridCol w:w="109"/>
        <w:gridCol w:w="211"/>
        <w:gridCol w:w="976"/>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48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1,554,110 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1,134,145 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100,459 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July 31, 2026, and the NAV attributable to current holders of Class D shares will not be included in the computation of stockholder servicing fees charged on Class D shares in perpetuity. As of July 31, 2026, we had accrued under GAAP stockholder servicing fees of $8.7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July 31, 2026 ($ and shares/units in thousands, except per share/unit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67" w:type="dxa"/>
        <w:jc w:val="left"/>
        <w:tblInd w:w="0" w:type="dxa"/>
        <w:tblLayout w:type="fixed"/>
        <w:tblCellMar>
          <w:top w:w="28" w:type="dxa"/>
          <w:left w:w="28" w:type="dxa"/>
          <w:bottom w:w="28" w:type="dxa"/>
          <w:right w:w="28" w:type="dxa"/>
        </w:tblCellMar>
      </w:tblPr>
      <w:tblGrid>
        <w:gridCol w:w="783"/>
        <w:gridCol w:w="686"/>
        <w:gridCol w:w="691"/>
        <w:gridCol w:w="109"/>
        <w:gridCol w:w="109"/>
        <w:gridCol w:w="109"/>
        <w:gridCol w:w="211"/>
        <w:gridCol w:w="976"/>
        <w:gridCol w:w="109"/>
        <w:gridCol w:w="109"/>
        <w:gridCol w:w="109"/>
        <w:gridCol w:w="109"/>
        <w:gridCol w:w="889"/>
        <w:gridCol w:w="889"/>
        <w:gridCol w:w="892"/>
        <w:gridCol w:w="109"/>
        <w:gridCol w:w="109"/>
        <w:gridCol w:w="109"/>
        <w:gridCol w:w="335"/>
        <w:gridCol w:w="980"/>
        <w:gridCol w:w="245"/>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 Class/Unit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 value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outstanding shares/units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 per share/unit</w:t>
            </w:r>
          </w:p>
        </w:tc>
      </w:tr>
      <w:tr>
        <w:trPr/>
        <w:tc>
          <w:tcPr>
            <w:tcW w:w="21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w:t>
            </w:r>
            <w:r>
              <w:rPr>
                <w:color w:val="000000"/>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w:t>
            </w:r>
            <w:r>
              <w:rPr>
                <w:color w:val="000000"/>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Operating Partnership Units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1,134,145 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100,459 </w:t>
            </w:r>
          </w:p>
        </w:tc>
        <w:tc>
          <w:tcPr>
            <w:tcW w:w="89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July 31, 2026 valuations, based on property types. Once we value more than one single-family rental property or more than one office property, we will include the key assumptions for such property type.</w:t>
      </w:r>
    </w:p>
    <w:tbl>
      <w:tblPr>
        <w:tblW w:w="4892" w:type="dxa"/>
        <w:jc w:val="center"/>
        <w:tblInd w:w="0" w:type="dxa"/>
        <w:tblLayout w:type="fixed"/>
        <w:tblCellMar>
          <w:top w:w="28" w:type="dxa"/>
          <w:left w:w="28" w:type="dxa"/>
          <w:bottom w:w="28" w:type="dxa"/>
          <w:right w:w="28" w:type="dxa"/>
        </w:tblCellMar>
      </w:tblPr>
      <w:tblGrid>
        <w:gridCol w:w="429"/>
        <w:gridCol w:w="376"/>
        <w:gridCol w:w="379"/>
        <w:gridCol w:w="109"/>
        <w:gridCol w:w="109"/>
        <w:gridCol w:w="109"/>
        <w:gridCol w:w="255"/>
        <w:gridCol w:w="256"/>
        <w:gridCol w:w="624"/>
        <w:gridCol w:w="109"/>
        <w:gridCol w:w="109"/>
        <w:gridCol w:w="109"/>
        <w:gridCol w:w="391"/>
        <w:gridCol w:w="391"/>
        <w:gridCol w:w="1137"/>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Exit Capitalization Rate</w:t>
            </w:r>
          </w:p>
        </w:tc>
      </w:tr>
      <w:tr>
        <w:trPr/>
        <w:tc>
          <w:tcPr>
            <w:tcW w:w="118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6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717"/>
        <w:gridCol w:w="600"/>
        <w:gridCol w:w="573"/>
        <w:gridCol w:w="109"/>
        <w:gridCol w:w="109"/>
        <w:gridCol w:w="109"/>
        <w:gridCol w:w="497"/>
        <w:gridCol w:w="497"/>
        <w:gridCol w:w="499"/>
        <w:gridCol w:w="109"/>
        <w:gridCol w:w="109"/>
        <w:gridCol w:w="109"/>
        <w:gridCol w:w="657"/>
        <w:gridCol w:w="657"/>
        <w:gridCol w:w="658"/>
        <w:gridCol w:w="109"/>
        <w:gridCol w:w="109"/>
        <w:gridCol w:w="109"/>
        <w:gridCol w:w="614"/>
        <w:gridCol w:w="614"/>
        <w:gridCol w:w="616"/>
        <w:gridCol w:w="109"/>
        <w:gridCol w:w="109"/>
        <w:gridCol w:w="109"/>
        <w:gridCol w:w="495"/>
        <w:gridCol w:w="495"/>
        <w:gridCol w:w="708"/>
      </w:tblGrid>
      <w:tr>
        <w:trPr/>
        <w:tc>
          <w:tcPr>
            <w:tcW w:w="7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 Investment Values</w:t>
            </w:r>
          </w:p>
        </w:tc>
      </w:tr>
      <w:tr>
        <w:trPr/>
        <w:tc>
          <w:tcPr>
            <w:tcW w:w="18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8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Status of Our Current Public Offering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13,398 Class D, 8,939,360 Class I and 9,921 Class T shares in the primary offering for total proceeds of approximately $95.1 million. We have issued 19,863 Class D, 227,148 Class I and 12 Class T shares for a total value of approximately $2.6 million pursuant to our distribution reinvestment plan. As of the date hereof, we have not sold any Class S shares in this offering. We intend to continue selling shares in the public offering on a monthly basis.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Updates to the Prospectus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is added to the “Experts” section of the Prospectus.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market values of our investments in real estate as of July 31, 2026 presented on page 2 of this Supplement under the section “July 31,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pStyle w:val="TextBody"/>
        <w:bidi w:val="0"/>
        <w:spacing w:lineRule="auto" w:line="268"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supersedes and replaces the sixth paragraph under “Shares Repurchases - Repurchase Limitations” in the Prospectus and all other similar disclosures in the Prospectus regarding the repurchases of shares of common stock held by the Adviser.</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Shares held by the Adviser acquired as payment of the Adviser’s management fee and for the reimbursement of expenses will not be subject to our share repurchase plan, including with respect to any repurchase limits, the Early Repurchase Deduction or the calculation of NAV. Stockholders who are exchanging shares of a class for shares of another class with an equivalent aggregate NAV will not be subject to, and will not be treated as repurchases for the calculation of, the 2% monthly or 5% quarterly limitations on repurchases and will not be subject to the Early Repurchase Deduction. Our independent directors oversee the repurchase activity of the Adviser and must approve any repurchase request of the Adviser for any shares of common stock held by the Adviser that are not subject to our share repurchase plan that, when combined with any stockholder repurchase requests submitted through our share purchase plan, would cause us to exceed the monthly and quarterly repurchase limitations of our share repurchase plan, and any such approval must find that the repurchase would not impair our capital or operations and be consistent with the fiduciary duties of our independent directors.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Quarterly Report for the Quarterly Period Ended June 30, 2026</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12, 2026, we filed with the SEC our Quarterly Report on Form 10-Q for the quarterly period ended June 30, 2026, a copy of which is attached to this Supplement as Appendix A (without exhibits).</w:t>
      </w:r>
    </w:p>
    <w:p>
      <w:pPr>
        <w:pStyle w:val="TextBody"/>
        <w:bidi w:val="0"/>
        <w:spacing w:before="0" w:after="0"/>
        <w:jc w:val="left"/>
        <w:rPr/>
      </w:pPr>
      <w:r>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Commission File Number: 333-288565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1058"/>
        <w:gridCol w:w="929"/>
        <w:gridCol w:w="938"/>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270-6000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16" w:type="dxa"/>
        <w:jc w:val="center"/>
        <w:tblInd w:w="0" w:type="dxa"/>
        <w:tblLayout w:type="fixed"/>
        <w:tblCellMar>
          <w:top w:w="28" w:type="dxa"/>
          <w:left w:w="28" w:type="dxa"/>
          <w:bottom w:w="28" w:type="dxa"/>
          <w:right w:w="28" w:type="dxa"/>
        </w:tblCellMar>
      </w:tblPr>
      <w:tblGrid>
        <w:gridCol w:w="504"/>
        <w:gridCol w:w="442"/>
        <w:gridCol w:w="448"/>
        <w:gridCol w:w="109"/>
        <w:gridCol w:w="109"/>
        <w:gridCol w:w="109"/>
        <w:gridCol w:w="484"/>
        <w:gridCol w:w="484"/>
        <w:gridCol w:w="48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76"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76" w:before="6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49"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As of August 12, 2026, the registrant had outstanding 1,016,912 shares of Class D common stock, 23,615,833 shares of Class I common stock, 9,933 shares of Class T common stock, 64,121,187 shares of Class E common stock and 12,183,017 shares of Class Y common stock. There were no outstanding shares of Class S or Class X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720"/>
                        <w:jc w:val="center"/>
                        <w:rPr/>
                      </w:pPr>
                      <w:r>
                        <w:rPr/>
                      </w:r>
                    </w:p>
                  </w:txbxContent>
                </v:textbox>
                <w10:wrap type="none"/>
              </v:rect>
            </w:pict>
          </mc:Fallback>
        </mc:AlternateConten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1"/>
        <w:gridCol w:w="273"/>
        <w:gridCol w:w="275"/>
        <w:gridCol w:w="2943"/>
        <w:gridCol w:w="2943"/>
        <w:gridCol w:w="2948"/>
        <w:gridCol w:w="149"/>
        <w:gridCol w:w="149"/>
        <w:gridCol w:w="21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0">
              <w:r>
                <w:rPr>
                  <w:rStyle w:val="InternetLink"/>
                  <w:rFonts w:ascii="Times New Roman;serif" w:hAnsi="Times New Roman;serif"/>
                  <w:b/>
                  <w:strike w:val="false"/>
                  <w:dstrike w:val="false"/>
                  <w:color w:val="000000"/>
                  <w:sz w:val="20"/>
                  <w:u w:val="none"/>
                  <w:effect w:val="none"/>
                </w:rPr>
                <w:t>PART I.</w:t>
              </w:r>
            </w:hyperlink>
          </w:p>
        </w:tc>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0">
              <w:r>
                <w:rPr>
                  <w:rStyle w:val="InternetLink"/>
                  <w:rFonts w:ascii="Times New Roman;serif" w:hAnsi="Times New Roman;serif"/>
                  <w:b w:val="false"/>
                  <w:color w:val="0000FF"/>
                  <w:sz w:val="20"/>
                  <w:u w:val="single"/>
                </w:rPr>
                <w:t>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0">
              <w:r>
                <w:rPr>
                  <w:rStyle w:val="InternetLink"/>
                  <w:rFonts w:ascii="Times New Roman;serif" w:hAnsi="Times New Roman;serif"/>
                  <w:b w:val="false"/>
                  <w:strike w:val="false"/>
                  <w:dstrike w:val="false"/>
                  <w:color w:val="000000"/>
                  <w:sz w:val="20"/>
                  <w:u w:val="none"/>
                  <w:effect w:val="non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
              <w:r>
                <w:rPr>
                  <w:rStyle w:val="InternetLink"/>
                  <w:rFonts w:ascii="Times New Roman;serif" w:hAnsi="Times New Roman;serif"/>
                  <w:b w:val="false"/>
                  <w:strike w:val="false"/>
                  <w:dstrike w:val="false"/>
                  <w:color w:val="000000"/>
                  <w:sz w:val="20"/>
                  <w:u w:val="none"/>
                  <w:effect w:val="none"/>
                </w:rPr>
                <w:t>Item 1.</w:t>
              </w:r>
            </w:hyperlink>
          </w:p>
        </w:tc>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
              <w:r>
                <w:rPr>
                  <w:rStyle w:val="InternetLink"/>
                  <w:rFonts w:ascii="Times New Roman;serif" w:hAnsi="Times New Roman;serif"/>
                  <w:b w:val="false"/>
                  <w:color w:val="0000FF"/>
                  <w:sz w:val="20"/>
                  <w:u w:val="single"/>
                </w:rPr>
                <w:t>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6">
              <w:r>
                <w:rPr>
                  <w:rStyle w:val="InternetLink"/>
                  <w:rFonts w:ascii="Times New Roman;serif" w:hAnsi="Times New Roman;serif"/>
                  <w:b w:val="false"/>
                  <w:color w:val="0000FF"/>
                  <w:sz w:val="20"/>
                  <w:u w:val="single"/>
                </w:rPr>
                <w:t>Condensed Consolidated Balance Sheets as of June 30, 2026 and December 31,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6">
              <w:r>
                <w:rPr>
                  <w:rStyle w:val="InternetLink"/>
                  <w:rFonts w:ascii="Times New Roman;serif" w:hAnsi="Times New Roman;serif"/>
                  <w:b w:val="false"/>
                  <w:strike w:val="false"/>
                  <w:dstrike w:val="false"/>
                  <w:color w:val="000000"/>
                  <w:sz w:val="20"/>
                  <w:u w:val="none"/>
                  <w:effect w:val="non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9">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9">
              <w:r>
                <w:rPr>
                  <w:rStyle w:val="InternetLink"/>
                  <w:rFonts w:ascii="Times New Roman;serif" w:hAnsi="Times New Roman;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25">
              <w:r>
                <w:rPr>
                  <w:rStyle w:val="InternetLink"/>
                  <w:rFonts w:ascii="Times New Roman;serif" w:hAnsi="Times New Roman;serif"/>
                  <w:b w:val="false"/>
                  <w:color w:val="0000FF"/>
                  <w:sz w:val="20"/>
                  <w:u w:val="single"/>
                </w:rPr>
                <w:t>Condensed Consolidated Statements of Changes in Equity for the three and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25">
              <w:r>
                <w:rPr>
                  <w:rStyle w:val="InternetLink"/>
                  <w:rFonts w:ascii="Times New Roman;serif" w:hAnsi="Times New Roman;serif"/>
                  <w:b w:val="false"/>
                  <w:strike w:val="false"/>
                  <w:dstrike w:val="false"/>
                  <w:color w:val="000000"/>
                  <w:sz w:val="20"/>
                  <w:u w:val="none"/>
                  <w:effect w:val="none"/>
                </w:rPr>
                <w:t>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28">
              <w:r>
                <w:rPr>
                  <w:rStyle w:val="InternetLink"/>
                  <w:rFonts w:ascii="Times New Roman;serif" w:hAnsi="Times New Roman;serif"/>
                  <w:b w:val="false"/>
                  <w:strike w:val="false"/>
                  <w:dstrike w:val="false"/>
                  <w:color w:val="000000"/>
                  <w:sz w:val="20"/>
                  <w:u w:val="none"/>
                  <w:effect w:val="none"/>
                </w:rPr>
                <w:t>6</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31">
              <w:r>
                <w:rPr>
                  <w:rStyle w:val="InternetLink"/>
                  <w:rFonts w:ascii="Times New Roman;serif" w:hAnsi="Times New Roman;serif"/>
                  <w:b w:val="false"/>
                  <w:color w:val="0000FF"/>
                  <w:sz w:val="20"/>
                  <w:u w:val="single"/>
                </w:rPr>
                <w:t>Notes to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31">
              <w:r>
                <w:rPr>
                  <w:rStyle w:val="InternetLink"/>
                  <w:rFonts w:ascii="Times New Roman;serif" w:hAnsi="Times New Roman;serif"/>
                  <w:b w:val="false"/>
                  <w:strike w:val="false"/>
                  <w:dstrike w:val="false"/>
                  <w:color w:val="000000"/>
                  <w:sz w:val="20"/>
                  <w:u w:val="none"/>
                  <w:effect w:val="none"/>
                </w:rPr>
                <w:t>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91">
              <w:r>
                <w:rPr>
                  <w:rStyle w:val="InternetLink"/>
                  <w:rFonts w:ascii="Times New Roman;serif" w:hAnsi="Times New Roman;serif"/>
                  <w:b w:val="false"/>
                  <w:strike w:val="false"/>
                  <w:dstrike w:val="false"/>
                  <w:color w:val="000000"/>
                  <w:sz w:val="20"/>
                  <w:u w:val="none"/>
                  <w:effect w:val="none"/>
                </w:rPr>
                <w:t>Item 2.</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91">
              <w:r>
                <w:rPr>
                  <w:rStyle w:val="InternetLink"/>
                  <w:rFonts w:ascii="Times New Roman;serif" w:hAnsi="Times New Roman;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24">
              <w:r>
                <w:rPr>
                  <w:rStyle w:val="InternetLink"/>
                  <w:rFonts w:ascii="Times New Roman;serif" w:hAnsi="Times New Roman;serif"/>
                  <w:b w:val="false"/>
                  <w:strike w:val="false"/>
                  <w:dstrike w:val="false"/>
                  <w:color w:val="000000"/>
                  <w:sz w:val="20"/>
                  <w:u w:val="none"/>
                  <w:effect w:val="none"/>
                </w:rPr>
                <w:t>Item 3.</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24">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24">
              <w:r>
                <w:rPr>
                  <w:rStyle w:val="InternetLink"/>
                  <w:rFonts w:ascii="Times New Roman;serif" w:hAnsi="Times New Roman;serif"/>
                  <w:b w:val="false"/>
                  <w:strike w:val="false"/>
                  <w:dstrike w:val="false"/>
                  <w:color w:val="000000"/>
                  <w:sz w:val="20"/>
                  <w:u w:val="none"/>
                  <w:effect w:val="none"/>
                </w:rPr>
                <w:t>54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27">
              <w:r>
                <w:rPr>
                  <w:rStyle w:val="InternetLink"/>
                  <w:rFonts w:ascii="Times New Roman;serif" w:hAnsi="Times New Roman;serif"/>
                  <w:b w:val="false"/>
                  <w:strike w:val="false"/>
                  <w:dstrike w:val="false"/>
                  <w:color w:val="000000"/>
                  <w:sz w:val="20"/>
                  <w:u w:val="none"/>
                  <w:effect w:val="none"/>
                </w:rPr>
                <w:t>Item 4.</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27">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27">
              <w:r>
                <w:rPr>
                  <w:rStyle w:val="InternetLink"/>
                  <w:rFonts w:ascii="Times New Roman;serif" w:hAnsi="Times New Roman;serif"/>
                  <w:b w:val="false"/>
                  <w:strike w:val="false"/>
                  <w:dstrike w:val="false"/>
                  <w:color w:val="000000"/>
                  <w:sz w:val="20"/>
                  <w:u w:val="none"/>
                  <w:effect w:val="none"/>
                </w:rPr>
                <w:t>55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0">
              <w:r>
                <w:rPr>
                  <w:rStyle w:val="InternetLink"/>
                  <w:rFonts w:ascii="Times New Roman;serif" w:hAnsi="Times New Roman;serif"/>
                  <w:b/>
                  <w:strike w:val="false"/>
                  <w:dstrike w:val="false"/>
                  <w:color w:val="000000"/>
                  <w:sz w:val="20"/>
                  <w:u w:val="none"/>
                  <w:effect w:val="none"/>
                </w:rPr>
                <w:t>PART II.</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30">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30">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3">
              <w:r>
                <w:rPr>
                  <w:rStyle w:val="InternetLink"/>
                  <w:rFonts w:ascii="Times New Roman;serif" w:hAnsi="Times New Roman;serif"/>
                  <w:b w:val="false"/>
                  <w:strike w:val="false"/>
                  <w:dstrike w:val="false"/>
                  <w:color w:val="000000"/>
                  <w:sz w:val="20"/>
                  <w:u w:val="none"/>
                  <w:effect w:val="none"/>
                </w:rPr>
                <w:t>Item 1.</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33">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33">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6">
              <w:r>
                <w:rPr>
                  <w:rStyle w:val="InternetLink"/>
                  <w:rFonts w:ascii="Times New Roman;serif" w:hAnsi="Times New Roman;serif"/>
                  <w:b w:val="false"/>
                  <w:strike w:val="false"/>
                  <w:dstrike w:val="false"/>
                  <w:color w:val="000000"/>
                  <w:sz w:val="20"/>
                  <w:u w:val="none"/>
                  <w:effect w:val="none"/>
                </w:rPr>
                <w:t>Item 1A.</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36">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36">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39">
              <w:r>
                <w:rPr>
                  <w:rStyle w:val="InternetLink"/>
                  <w:rFonts w:ascii="Times New Roman;serif" w:hAnsi="Times New Roman;serif"/>
                  <w:b w:val="false"/>
                  <w:strike w:val="false"/>
                  <w:dstrike w:val="false"/>
                  <w:color w:val="000000"/>
                  <w:sz w:val="20"/>
                  <w:u w:val="none"/>
                  <w:effect w:val="none"/>
                </w:rPr>
                <w:t>Item 2.</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39">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39">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42">
              <w:r>
                <w:rPr>
                  <w:rStyle w:val="InternetLink"/>
                  <w:rFonts w:ascii="Times New Roman;serif" w:hAnsi="Times New Roman;serif"/>
                  <w:b w:val="false"/>
                  <w:strike w:val="false"/>
                  <w:dstrike w:val="false"/>
                  <w:color w:val="000000"/>
                  <w:sz w:val="20"/>
                  <w:u w:val="none"/>
                  <w:effect w:val="none"/>
                </w:rPr>
                <w:t>Item 3.</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42">
              <w:r>
                <w:rPr>
                  <w:rStyle w:val="InternetLink"/>
                  <w:rFonts w:ascii="Times New Roman;serif" w:hAnsi="Times New Roman;serif"/>
                  <w:b w:val="false"/>
                  <w:color w:val="0000FF"/>
                  <w:sz w:val="20"/>
                  <w:u w:val="single"/>
                </w:rPr>
                <w:t>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42">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45">
              <w:r>
                <w:rPr>
                  <w:rStyle w:val="InternetLink"/>
                  <w:rFonts w:ascii="Times New Roman;serif" w:hAnsi="Times New Roman;serif"/>
                  <w:b w:val="false"/>
                  <w:strike w:val="false"/>
                  <w:dstrike w:val="false"/>
                  <w:color w:val="000000"/>
                  <w:sz w:val="20"/>
                  <w:u w:val="none"/>
                  <w:effect w:val="none"/>
                </w:rPr>
                <w:t>Item 4.</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45">
              <w:r>
                <w:rPr>
                  <w:rStyle w:val="InternetLink"/>
                  <w:rFonts w:ascii="Times New Roman;serif" w:hAnsi="Times New Roman;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45">
              <w:r>
                <w:rPr>
                  <w:rStyle w:val="InternetLink"/>
                  <w:rFonts w:ascii="Times New Roman;serif" w:hAnsi="Times New Roman;serif"/>
                  <w:b w:val="false"/>
                  <w:strike w:val="false"/>
                  <w:dstrike w:val="false"/>
                  <w:color w:val="000000"/>
                  <w:sz w:val="20"/>
                  <w:u w:val="none"/>
                  <w:effect w:val="none"/>
                </w:rPr>
                <w:t>57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48">
              <w:r>
                <w:rPr>
                  <w:rStyle w:val="InternetLink"/>
                  <w:rFonts w:ascii="Times New Roman;serif" w:hAnsi="Times New Roman;serif"/>
                  <w:b w:val="false"/>
                  <w:strike w:val="false"/>
                  <w:dstrike w:val="false"/>
                  <w:color w:val="000000"/>
                  <w:sz w:val="20"/>
                  <w:u w:val="none"/>
                  <w:effect w:val="none"/>
                </w:rPr>
                <w:t>Item 5.</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48">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48">
              <w:r>
                <w:rPr>
                  <w:rStyle w:val="InternetLink"/>
                  <w:rFonts w:ascii="Times New Roman;serif" w:hAnsi="Times New Roman;serif"/>
                  <w:b w:val="false"/>
                  <w:strike w:val="false"/>
                  <w:dstrike w:val="false"/>
                  <w:color w:val="000000"/>
                  <w:sz w:val="20"/>
                  <w:u w:val="none"/>
                  <w:effect w:val="none"/>
                </w:rPr>
                <w:t>57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09b1be1c64943248ebf13e8a19c0bfa_151">
              <w:r>
                <w:rPr>
                  <w:rStyle w:val="InternetLink"/>
                  <w:rFonts w:ascii="Times New Roman;serif" w:hAnsi="Times New Roman;serif"/>
                  <w:b w:val="false"/>
                  <w:strike w:val="false"/>
                  <w:dstrike w:val="false"/>
                  <w:color w:val="000000"/>
                  <w:sz w:val="20"/>
                  <w:u w:val="none"/>
                  <w:effect w:val="none"/>
                </w:rPr>
                <w:t>Item 6.</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51">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51">
              <w:r>
                <w:rPr>
                  <w:rStyle w:val="InternetLink"/>
                  <w:rFonts w:ascii="Times New Roman;serif" w:hAnsi="Times New Roman;serif"/>
                  <w:b w:val="false"/>
                  <w:strike w:val="false"/>
                  <w:dstrike w:val="false"/>
                  <w:color w:val="000000"/>
                  <w:sz w:val="20"/>
                  <w:u w:val="none"/>
                  <w:effect w:val="none"/>
                </w:rPr>
                <w:t>58</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209b1be1c64943248ebf13e8a19c0bfa_154">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b1be1c64943248ebf13e8a19c0bfa_154">
              <w:r>
                <w:rPr>
                  <w:rStyle w:val="InternetLink"/>
                  <w:rFonts w:ascii="Times New Roman;serif" w:hAnsi="Times New Roman;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0205" w:type="dxa"/>
        <w:jc w:val="left"/>
        <w:tblInd w:w="0" w:type="dxa"/>
        <w:tblLayout w:type="fixed"/>
        <w:tblCellMar>
          <w:top w:w="28" w:type="dxa"/>
          <w:left w:w="28" w:type="dxa"/>
          <w:bottom w:w="28" w:type="dxa"/>
          <w:right w:w="28" w:type="dxa"/>
        </w:tblCellMar>
      </w:tblPr>
      <w:tblGrid>
        <w:gridCol w:w="2628"/>
        <w:gridCol w:w="2166"/>
        <w:gridCol w:w="2191"/>
        <w:gridCol w:w="109"/>
        <w:gridCol w:w="109"/>
        <w:gridCol w:w="109"/>
        <w:gridCol w:w="196"/>
        <w:gridCol w:w="871"/>
        <w:gridCol w:w="109"/>
        <w:gridCol w:w="109"/>
        <w:gridCol w:w="109"/>
        <w:gridCol w:w="109"/>
        <w:gridCol w:w="222"/>
        <w:gridCol w:w="990"/>
        <w:gridCol w:w="178"/>
      </w:tblGrid>
      <w:tr>
        <w:trPr/>
        <w:tc>
          <w:tcPr>
            <w:tcW w:w="262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debt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224,600 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58,548 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1,689,760 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1,503,518 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facility,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167,863 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liabilities,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Mandatorily redeemable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712,694 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719,362 </w:t>
            </w:r>
          </w:p>
        </w:tc>
        <w:tc>
          <w:tcPr>
            <w:tcW w:w="17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D shares, $0.01 par value per share, 600,000 shares authorized, and 1,017 and 1,009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I shares, $0.01 par value per share, 1,500,000 shares authorized, and 22,898 and 13,949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Common stock</w:t>
            </w:r>
            <w:r>
              <w:rPr>
                <w:color w:val="000000"/>
              </w:rPr>
              <w:t xml:space="preserve"> </w:t>
            </w:r>
            <w:r>
              <w:rPr>
                <w:rFonts w:ascii="Times New Roman;serif" w:hAnsi="Times New Roman;serif"/>
                <w:b/>
                <w:color w:val="000000"/>
                <w:sz w:val="18"/>
              </w:rPr>
              <w:t xml:space="preserve">- </w:t>
            </w:r>
            <w:r>
              <w:rPr>
                <w:rFonts w:ascii="Times New Roman;serif" w:hAnsi="Times New Roman;serif"/>
                <w:b w:val="false"/>
                <w:color w:val="000000"/>
                <w:sz w:val="18"/>
              </w:rPr>
              <w:t>Class T shares, $0.01 par value per share, 600,000 shares authorized, and 2 and 0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E shares, $0.01 par value per share, 600,000 shares authorized, and 63,510 and 55,790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Y shares, $0.01 par value per share, 600,000 shares authorized, and 11,717 and 8,579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962,113 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770,901 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783,292 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1,689,760 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1,503,518 </w:t>
            </w:r>
          </w:p>
        </w:tc>
        <w:tc>
          <w:tcPr>
            <w:tcW w:w="17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0205" w:type="dxa"/>
        <w:jc w:val="left"/>
        <w:tblInd w:w="0" w:type="dxa"/>
        <w:tblLayout w:type="fixed"/>
        <w:tblCellMar>
          <w:top w:w="28" w:type="dxa"/>
          <w:left w:w="28" w:type="dxa"/>
          <w:bottom w:w="28" w:type="dxa"/>
          <w:right w:w="28" w:type="dxa"/>
        </w:tblCellMar>
      </w:tblPr>
      <w:tblGrid>
        <w:gridCol w:w="1853"/>
        <w:gridCol w:w="1540"/>
        <w:gridCol w:w="1548"/>
        <w:gridCol w:w="109"/>
        <w:gridCol w:w="109"/>
        <w:gridCol w:w="109"/>
        <w:gridCol w:w="205"/>
        <w:gridCol w:w="676"/>
        <w:gridCol w:w="114"/>
        <w:gridCol w:w="114"/>
        <w:gridCol w:w="114"/>
        <w:gridCol w:w="114"/>
        <w:gridCol w:w="205"/>
        <w:gridCol w:w="676"/>
        <w:gridCol w:w="114"/>
        <w:gridCol w:w="109"/>
        <w:gridCol w:w="109"/>
        <w:gridCol w:w="109"/>
        <w:gridCol w:w="196"/>
        <w:gridCol w:w="646"/>
        <w:gridCol w:w="109"/>
        <w:gridCol w:w="109"/>
        <w:gridCol w:w="109"/>
        <w:gridCol w:w="109"/>
        <w:gridCol w:w="196"/>
        <w:gridCol w:w="646"/>
        <w:gridCol w:w="158"/>
      </w:tblGrid>
      <w:tr>
        <w:trPr/>
        <w:tc>
          <w:tcPr>
            <w:tcW w:w="185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29,339 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13,236 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59,010 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21,505 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Rental property operating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8,132 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26,072 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14,119 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22,357 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Mandatorily redeemable instruments 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(8,634)</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(2,992)</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other (expense)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consolidated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JPMREIT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per share of common stock – basic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per share of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of common stock outstanding – basic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97,919 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65,443 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90,111 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58,122 </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of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97,925 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65,449 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58,127 </w:t>
            </w:r>
          </w:p>
        </w:tc>
        <w:tc>
          <w:tcPr>
            <w:tcW w:w="1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2352" w:type="dxa"/>
        <w:jc w:val="left"/>
        <w:tblInd w:w="0" w:type="dxa"/>
        <w:tblLayout w:type="fixed"/>
        <w:tblCellMar>
          <w:top w:w="28" w:type="dxa"/>
          <w:left w:w="28" w:type="dxa"/>
          <w:bottom w:w="28" w:type="dxa"/>
          <w:right w:w="28" w:type="dxa"/>
        </w:tblCellMar>
      </w:tblPr>
      <w:tblGrid>
        <w:gridCol w:w="667"/>
        <w:gridCol w:w="191"/>
        <w:gridCol w:w="193"/>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09"/>
        <w:gridCol w:w="109"/>
        <w:gridCol w:w="181"/>
        <w:gridCol w:w="361"/>
        <w:gridCol w:w="109"/>
        <w:gridCol w:w="109"/>
        <w:gridCol w:w="109"/>
        <w:gridCol w:w="109"/>
        <w:gridCol w:w="181"/>
        <w:gridCol w:w="361"/>
        <w:gridCol w:w="109"/>
        <w:gridCol w:w="109"/>
        <w:gridCol w:w="109"/>
        <w:gridCol w:w="109"/>
        <w:gridCol w:w="181"/>
        <w:gridCol w:w="721"/>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889,548 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(87,071)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803,312 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12,297 </w:t>
            </w:r>
          </w:p>
        </w:tc>
        <w:tc>
          <w:tcPr>
            <w:tcW w:w="1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815,609 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165,245 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rFonts w:ascii="Times New Roman;serif" w:hAnsi="Times New Roman;serif"/>
                <w:b w:val="false"/>
                <w:color w:val="000000"/>
                <w:sz w:val="14"/>
              </w:rPr>
            </w:pPr>
            <w:r>
              <w:rPr>
                <w:rFonts w:ascii="Times New Roman;serif" w:hAnsi="Times New Roman;serif"/>
                <w:b w:val="false"/>
                <w:color w:val="000000"/>
                <w:sz w:val="14"/>
              </w:rPr>
              <w:t>Net income ($1 loss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9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1,059,266 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(98,144)</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962,113 </w:t>
            </w:r>
          </w:p>
        </w:tc>
        <w:tc>
          <w:tcPr>
            <w:tcW w:w="1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4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976,114 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09" w:type="dxa"/>
        <w:jc w:val="left"/>
        <w:tblInd w:w="0" w:type="dxa"/>
        <w:tblLayout w:type="fixed"/>
        <w:tblCellMar>
          <w:top w:w="28" w:type="dxa"/>
          <w:left w:w="28" w:type="dxa"/>
          <w:bottom w:w="28" w:type="dxa"/>
          <w:right w:w="28" w:type="dxa"/>
        </w:tblCellMar>
      </w:tblPr>
      <w:tblGrid>
        <w:gridCol w:w="667"/>
        <w:gridCol w:w="191"/>
        <w:gridCol w:w="193"/>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626,545 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(37,826)</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589,309 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7,637 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596,946 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14" w:after="283"/>
              <w:jc w:val="left"/>
              <w:rPr>
                <w:rFonts w:ascii="Times New Roman;serif" w:hAnsi="Times New Roman;serif"/>
                <w:b w:val="false"/>
                <w:color w:val="000000"/>
                <w:sz w:val="14"/>
              </w:rPr>
            </w:pPr>
            <w:r>
              <w:rPr>
                <w:rFonts w:ascii="Times New Roman;serif" w:hAnsi="Times New Roman;serif"/>
                <w:b w:val="false"/>
                <w:color w:val="000000"/>
                <w:sz w:val="14"/>
              </w:rPr>
              <w:t>Net income (loss) ($2 income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5,613 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735,421 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(45,051)</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691,062 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10,916 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701,978 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3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2352" w:type="dxa"/>
        <w:jc w:val="left"/>
        <w:tblInd w:w="0" w:type="dxa"/>
        <w:tblLayout w:type="fixed"/>
        <w:tblCellMar>
          <w:top w:w="28" w:type="dxa"/>
          <w:left w:w="28" w:type="dxa"/>
          <w:bottom w:w="28" w:type="dxa"/>
          <w:right w:w="28" w:type="dxa"/>
        </w:tblCellMar>
      </w:tblPr>
      <w:tblGrid>
        <w:gridCol w:w="610"/>
        <w:gridCol w:w="220"/>
        <w:gridCol w:w="221"/>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09"/>
        <w:gridCol w:w="109"/>
        <w:gridCol w:w="181"/>
        <w:gridCol w:w="361"/>
        <w:gridCol w:w="109"/>
        <w:gridCol w:w="109"/>
        <w:gridCol w:w="109"/>
        <w:gridCol w:w="109"/>
        <w:gridCol w:w="181"/>
        <w:gridCol w:w="361"/>
        <w:gridCol w:w="109"/>
        <w:gridCol w:w="109"/>
        <w:gridCol w:w="109"/>
        <w:gridCol w:w="109"/>
        <w:gridCol w:w="181"/>
        <w:gridCol w:w="721"/>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844,236 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(74,128)</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770,901 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12,391 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783,292 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4"/>
              </w:rPr>
            </w:pPr>
            <w:r>
              <w:rPr>
                <w:rFonts w:ascii="Times New Roman;serif" w:hAnsi="Times New Roman;serif"/>
                <w:b w:val="false"/>
                <w:color w:val="000000"/>
                <w:sz w:val="14"/>
              </w:rPr>
              <w:t>Net loss ($2 loss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2,422 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1,059,266 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(98,144)</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962,113 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976,114 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09" w:type="dxa"/>
        <w:jc w:val="left"/>
        <w:tblInd w:w="0" w:type="dxa"/>
        <w:tblLayout w:type="fixed"/>
        <w:tblCellMar>
          <w:top w:w="28" w:type="dxa"/>
          <w:left w:w="28" w:type="dxa"/>
          <w:bottom w:w="28" w:type="dxa"/>
          <w:right w:w="28" w:type="dxa"/>
        </w:tblCellMar>
      </w:tblPr>
      <w:tblGrid>
        <w:gridCol w:w="610"/>
        <w:gridCol w:w="220"/>
        <w:gridCol w:w="221"/>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(33,780)</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296,139 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4,430 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300,569 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403,802 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 ($2 income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8,882 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735,421 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(45,051)</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691,062 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10,916 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701,978 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3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(in thousands)</w:t>
      </w:r>
    </w:p>
    <w:tbl>
      <w:tblPr>
        <w:tblW w:w="9335" w:type="dxa"/>
        <w:jc w:val="left"/>
        <w:tblInd w:w="0" w:type="dxa"/>
        <w:tblLayout w:type="fixed"/>
        <w:tblCellMar>
          <w:top w:w="28" w:type="dxa"/>
          <w:left w:w="28" w:type="dxa"/>
          <w:bottom w:w="28" w:type="dxa"/>
          <w:right w:w="28" w:type="dxa"/>
        </w:tblCellMar>
      </w:tblPr>
      <w:tblGrid>
        <w:gridCol w:w="2440"/>
        <w:gridCol w:w="2139"/>
        <w:gridCol w:w="2155"/>
        <w:gridCol w:w="109"/>
        <w:gridCol w:w="109"/>
        <w:gridCol w:w="109"/>
        <w:gridCol w:w="196"/>
        <w:gridCol w:w="646"/>
        <w:gridCol w:w="109"/>
        <w:gridCol w:w="109"/>
        <w:gridCol w:w="109"/>
        <w:gridCol w:w="109"/>
        <w:gridCol w:w="196"/>
        <w:gridCol w:w="646"/>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above- and below-market lease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restricted stock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value adjustment on mandatorily redeemable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due to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14,396 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improvements on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investments in real estate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on real estate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Variation margin proceeds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real-estate related and 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(196,533)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(555,673)</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mandatorily redeemable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unsecured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 notes and debt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 notes and debt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180,383 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482,966 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(in thousands)</w:t>
      </w:r>
    </w:p>
    <w:tbl>
      <w:tblPr>
        <w:tblW w:w="9698" w:type="dxa"/>
        <w:jc w:val="left"/>
        <w:tblInd w:w="0" w:type="dxa"/>
        <w:tblLayout w:type="fixed"/>
        <w:tblCellMar>
          <w:top w:w="28" w:type="dxa"/>
          <w:left w:w="28" w:type="dxa"/>
          <w:bottom w:w="28" w:type="dxa"/>
          <w:right w:w="28" w:type="dxa"/>
        </w:tblCellMar>
      </w:tblPr>
      <w:tblGrid>
        <w:gridCol w:w="2689"/>
        <w:gridCol w:w="2361"/>
        <w:gridCol w:w="2374"/>
        <w:gridCol w:w="196"/>
        <w:gridCol w:w="646"/>
        <w:gridCol w:w="109"/>
        <w:gridCol w:w="109"/>
        <w:gridCol w:w="109"/>
        <w:gridCol w:w="109"/>
        <w:gridCol w:w="196"/>
        <w:gridCol w:w="646"/>
        <w:gridCol w:w="154"/>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70,081 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mortgage note, net, in conjunction with acquisition of real estate</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working capital in conjunction with acquisition of real estate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distributions</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re-investments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capex</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deposits to investments in real estate, net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stockholder servicing fee due to affiliate</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contributions to investment in real estate, net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 issued as settlement for performance participation allocation</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equity interest to non-controlling interest</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72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 (Unaudited)</w:t>
      </w:r>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120"/>
        <w:jc w:val="left"/>
        <w:rPr>
          <w:rFonts w:ascii="Times New Roman;serif" w:hAnsi="Times New Roman;serif"/>
          <w:b/>
          <w:color w:val="000000"/>
          <w:sz w:val="20"/>
        </w:rPr>
      </w:pPr>
      <w:r>
        <w:rPr>
          <w:rFonts w:ascii="Times New Roman;serif" w:hAnsi="Times New Roman;serif"/>
          <w:b/>
          <w:color w:val="000000"/>
          <w:sz w:val="20"/>
        </w:rPr>
        <w:t>1. Organization and Business Purpose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J.P. Morgan Real Estate Income Trust, Inc. (the “Company” or “JPMREIT”) was formed on November 5, 2021 as a Maryland corporation and qualifies as a real estate investment trust (“REIT”) for U.S. federal income tax purposes. The Company invests primarily in stabilized, income-generating real estate properties, and to a lesser extent, real estate debt, real estate-related securities and other securities. The Company is the sole general partner of J.P. Morgan REIT Operating Partnership, L.P., a Delaware limited partnership (“Operating Partnership”). J.P. Morgan REIT OP Special Limited Partner, L.P. (the “Special Limited Partner”), an affiliate of J.P. Morgan Investment Management Inc. (the “Adviser” or “JPMIM” and together with its affiliates “J.P. Morgan”), owns a special limited partner interest in the Operating Partnership. Substantially all of the Company’s business is conducted through the Operating Partnership. The Company and the Operating Partnership are externally managed by JPMIM.</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owned 68 real estate properties consisting of 40 industrial properties, 17 multifamily properties, three retail properties, seven office properties and 126 single-family townhomes that are presented as a single property. The Company also has three commercial mortgage-backed securities (“CMBS”) investments and four real estate debt investments. The Company currently operates in six reportable segments: multifamily, industrial, single-family rental, retail, office and investments in real estate debt, real estate-related and other securities. See Note 15 for a description of the Company's segment reporting.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depends on the Adviser and its affiliates for certain services that are essential to it, including acquisition and disposition decisions, and certain other responsibilities. If the Adviser and its affiliates were unable or unwilling to provide such services, the Company would be required to find alternative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2. Capitalization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November 15, 2021, the Company was capitalized with a $0.2 million investment by the Adviser in exchange for 20,000 shares of the Company’s Class E common stock. The Adviser has agreed to not sell, transfer or dispose of the shares to any party other than an affiliate of the Adviser for so long as the Adviser or its affiliate performs an advisory function for the Company.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22, 2022, the Company commenced its initial public offering of up to $5.0 billion in shares of common stock pursuant to a Registration Statement on Form S-11 filed with the Securities and Exchange Commission (the “SEC”), consisting of up to $4.0 billion in shares in its primary offering and up to $1.0 billion in shares pursuant to its distribution reinvestment plan. On July 8, 2025, the Company filed a Registration Statement on Form S-11 with the SEC for its second public offering of up to $4.8 billion in shares of common stock, consisting of up to $3.8 billion in shares of common stock in the primary offering and up to $1.0 billion in shares of common stock pursuant to the distribution reinvestment plan. On February 4, 2026, the initial public offering terminated and the Company commenced its second public offering, pursuant to which the Company is selling any combination of four classes of shares of its common stock, Class D shares, Class I shares, Class S shares and Class T shares, with a dollar value up to the maximum offering amount (the Company’s public offerings and together with the Company’s private offerings described below, the “Offerings”). The share classes have different upfront selling commissions and ongoing stockholder servicing fees. The purchase price per share for each class of the Company’s common stock will vary and will generally equal the prior month’s net asset value (“NAV”) per share for such class, as determined monthly, plus any applicable upfront selling commissions and dealer manager fees, provided that until the Company has any Class S shares outstanding, the per-share purchase price for the Company’s Class S shares will equal the most recently determined NAV per share for the Class E shares, plus applicable upfront selling commissions and dealer manager fees.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a separate private offering, as of June 30, 2026, the Company had sold $67.9 million in Class E shares and $94.2 million in Class E units of the Operating Partnership (“Class E units”), including $5.8 million in Class E shares and $94.2 million in Class E units purchased by JPMIM (the “JPM Initial Capitalization” and together with other Class E shares sold pursuant to such private offering, the “Initial Capitalization”). As of June 30, 2026, all shares and units issued in the JPM Initial Capitalization have been repurchased by the Company. See Note 13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3. Summary of Significant Accounting Policies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and in the opinion of management, include all necessary adjustments, consisting of only normal and recurring items, necessary for a fair statement of the Company’s financial position and results of operations for the interim period. These financial statements have been prepared by the Company in accordance with accounting principles generally accepted in the United States of America (“GAAP”) for interim financial information and the applicable rules and regulations of the SEC. The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accompanying unaudited condensed consolidated interim financial statements should be read in conjunction with the Company’s Annual Report on Form 10-K for the year ended December 31, 2025 filed with the SEC on March 16, 2026.</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Certain amounts on the Company’s Condensed Consolidated Statements of Cash Flows for the six months ended June 30, 2025 have been reclassified to conform to the current period presentation. Such reclassifications have no effect on previously reported totals or subtotals on the Condensed Consolidated Statements of Cash Flows.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have been eliminated in consolidation. The preparation of the financial statements in conformity with GAAP requires management to make estimates and assumptions that affect the reported amounts of assets and liabilities and disclosures of contingent assets and liabilities at the date of the balance sheet. Actual results could differ from those estimates.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There is no other comprehensive income (loss) for the three and six months ended June 30, 2026 and 2025, resulting in comprehensive income (loss) equaling net income (loss). Accordingly, the statement of other comprehensive income (loss) is not presented.</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the Company’s subsidiaries in which the Company has a controlling interest. For consolidated joint ventures, the non-controlling partner’s share of the assets, liabilities and operations of the joint ventures is included in non-controlling interests on the Company's Condensed Consolidated Balance Sheets and Condensed Consolidated Statements of Operations. The non-controlling partner’s interest is generally computed as the joint venture partner’s ownership percentage.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 determining whether the Company has a controlling financial interest in a partially owned entity and the requirement to consolidate the accounts of that entity, the Company considers whether the entity is a variable interest entity (“VIE”) and whether it is the primary beneficiary. The Company is the primary beneficiary of a VIE when it has (i) the power to direct the most significant activities impacting the economic performance of the VIE and (ii) the obligation to absorb losses or receive benefits significant to the VIE. Entities that do not qualify as VIEs are generally considered voting interest entities (“VOEs”) and are evaluated for consolidation under the voting interest model. VOEs are consolidated when the Company controls the entity through a majority voting interest or other means. When the requirements for consolidation are not met and the Company has significant influence over the operations of the entity, the investment is accounted for under the equity method of accounting. Equity method investments for which the Company has not elected a fair value option (“FVO”) are initially recorded at cost and subsequently adjusted for the Company’s pro rata share of net income, contributions and distributions. When the Company elects the FVO, the Company records its share of net asset value of the entity and any related unrealized gains and losses.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considered to be a VIE. The Company consolidates the Operating Partnership because it has the ability to direct the most significant activities of the entities such as purchases, dispositions, financings, budgets, and overall operating plans.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Each of the Company’s joint ventures is considered to be a VIE. The Company consolidated these entities because it has the ability to direct the most significant activities of the joint venture. The total assets and liabilities of the Company’s consolidated VIEs were $525.6 million and $261.0 million and $423.3 million and $244.9 million as of June 30, 2026 and December 31, 2025, respectively. Such amounts are included on the Company’s Condensed Consolidated Balance Sheets.</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Investments in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determines whether the acquisition of a property qualifies as a business combination, which requires that the assets acquired and liabilities assumed constitute a business. If the property acquired is not a business, the Company accounts for the transaction as an asset acquisition. All property acquisitions to date have been accounted for as asset 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Whether the acquisition of a property is considered a business combination or asset acquisition, the Company recognizes the identifiable tangible and intangible assets acquired, the liabilities assumed, and any non-controlling interest in the acquired entity. In addition, for transactions that are business combinations, the Company evaluates the existence of goodwill or a gain from a bargain purchase. The Company expenses acquisition-related costs associated with business combinations as they are incurred and capitalizes acquisition-related costs associated with asset 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Upon the acquisition of a property deemed to be an asset acquisition,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a number of factors including the historical operating results, known and anticipated trends and market and economic conditions.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cost of buildings and improvements includes the purchase price of the Company’s properties and any acquisition-related costs, along with any subsequent capitalized improvements to such properties.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real estate are stated at cost and are generally depreciated on a straight-line basis over the estimated useful lives of the assets as follows: </w:t>
      </w:r>
    </w:p>
    <w:tbl>
      <w:tblPr>
        <w:tblW w:w="5202" w:type="dxa"/>
        <w:jc w:val="center"/>
        <w:tblInd w:w="0" w:type="dxa"/>
        <w:tblLayout w:type="fixed"/>
        <w:tblCellMar>
          <w:top w:w="28" w:type="dxa"/>
          <w:left w:w="28" w:type="dxa"/>
          <w:bottom w:w="28" w:type="dxa"/>
          <w:right w:w="28" w:type="dxa"/>
        </w:tblCellMar>
      </w:tblPr>
      <w:tblGrid>
        <w:gridCol w:w="1200"/>
        <w:gridCol w:w="1055"/>
        <w:gridCol w:w="1060"/>
        <w:gridCol w:w="109"/>
        <w:gridCol w:w="109"/>
        <w:gridCol w:w="109"/>
        <w:gridCol w:w="457"/>
        <w:gridCol w:w="457"/>
        <w:gridCol w:w="646"/>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Depreciable Life</w:t>
            </w:r>
          </w:p>
        </w:tc>
      </w:tr>
      <w:tr>
        <w:trPr/>
        <w:tc>
          <w:tcPr>
            <w:tcW w:w="33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15-40 years</w:t>
            </w:r>
          </w:p>
        </w:tc>
      </w:tr>
      <w:tr>
        <w:trPr/>
        <w:tc>
          <w:tcPr>
            <w:tcW w:w="33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Site improvements - buildings and land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2-20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5-15 years</w:t>
            </w:r>
          </w:p>
        </w:tc>
      </w:tr>
      <w:tr>
        <w:trPr/>
        <w:tc>
          <w:tcPr>
            <w:tcW w:w="33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intangibles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Over lease term</w:t>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Repairs and maintenance are expensed to operations as incurred and are included in property operating expenses on the Company’s Condensed Consolidated Statements of Operations. Significant improvements to properties are capitalized. When assets are sold or retired, their costs and related accumulated depreciation are removed from the accounts with the resulting gains or losses reflected in net income or loss for the period.</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records acquired above-market and below-market leases at their fair values (using a discount rate which reflects the risks associated with the leases acquired). In the case of an above-market lease, the excess payment (the difference between (1) the contractual amounts to be received pursuant to the lease and (2) management’s estimate of fair-market lease rates for the lease, measured over a period equal to the remaining term of the lease) is recorded as an asset on the Company’s Condensed Consolidated Balance Sheets. In the case of a below-market lease, the difference between (1) the contractual amounts to be received pursuant to the lease and (2) management’s estimate of fair-market lease rates for the lease, measured over a period equal to the initial term plus the term of any below-market fixed-rate renewal options is recorded as a liability on the Company’s Condensed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 estimating costs to execute similar leases, the Company considers leasing commissions, legal and other related expenses. The amortization of acquired above-market and below-market leases is recorded as an adjustment to rental revenue on the Company’s Condensed Consolidated Statements of Operations. The amortization of in-place leases is recorded as an adjustment to depreciation and amortization expense on the Company’s Condensed Consolidated Statements of Operations.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reviews the Company’s real estate properties for impairment each quarter or when there is an event or change in circumstances that indicates an impaired value. Since cash flows on real estate properties considered to be “long-lived assets to be held and used” are considered on an undiscounted basis to determine whether an asset has been impaired, the Company’s strategy of holding properties over the long term decreases the likelihood of recording an impairment loss. If the Company’s strategy changes or market conditions otherwise dictate an earlier sale date, an impairment loss may be recognized and such loss could be material to the Company’s results. If the Company determines that an impairment has occurred, the affected assets must be reduced to their estimated fair value. During the three and six months ended June 30, 2026 and 2025, no such impairments occurred.</w:t>
      </w: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Under normal market conditions, the fair value of an investment is the amount that would be received to sell an asset or transfer a liability in an orderly transaction between market participants at the measurement date (i.e., the exit price). Additionally, there is a hierarchical framework that prioritizes and ranks the level of market price observability used in measuring investments at fair value. Market price observability is impacted by a number of factors, including the type of investment and the characteristics specific to the investment and the state of the marketplace, including the existence and transparency of transactions between market participants. Investments with readily available active quoted prices or for which fair value can be measured from actively quoted prices generally will have a higher degree of market price observability and a lesser degree of judgment used in measuring fair value. Investments measured and reported at fair value are classified and disclosed in one of the following levels within the fair value hierarchy:</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1 — quoted prices are available in active markets for identical investments as of the measurement date. The Company does not adjust the quoted price for these investments.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2 — quoted prices are available in markets that are not active, or model inputs are based on inputs that are either directly or indirectly observable as of the measurement date.</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3 — pricing inputs are unobservable and include instances where there is minimal, if any, market activity for the investment.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inputs require significant judgment or estimation by management or third parties when determining fair value and generally represent anything that does not meet the criteria of Levels 1 and 2. Due to the inherent uncertainty of these estimates, these values may differ materially from the values that would have been used had a ready market for these investments existed.</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Valuation of assets and liabilities measured at fair value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real estate debt, real estate-related and other securities and derivatives are recorded at fair value. The Company generally determines the fair value of its investments by utilizing third-party pricing service providers. In determining the value of a particular real estate-related security, the pricing service providers may use broker-dealer quotations, reported trades or valuation estimates from their internal pricing models to determine the reported price. The pricing service providers’ internal models for real estate-related securities usually consider the attributes applicable to a particular class of security (e.g., credit rating, seniority), current market data, and estimated cash flows for each class and incorporate deal collateral performance such as prepayment speeds and default rates, as available.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Company’s investments in real estate debt that consist of loans secured by real estate, such as commercial mortgage loans, are unlikely to have readily available market quotations. In such cases, the Company will generally determine the initial value based on the origination amount or acquisition price of the investment if acquired by the Company or the par value of the investment if originated by the Company. Following the initial measurement, the Company will determine fair value by utilizing or reviewing certain of the following inputs: (i) market yield data, (ii) discounted cash flow modeling, (iii) collateral asset performance, (iv) local or macro real estate performance, (v) capital market conditions, (vi) debt yield or loan-to-value ratios and (vii) borrower financial condition and performance.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consist of interest rate swaps. The fair value of the Company’s interest rate swaps are estimated using information provided by a third-party valuation service provider based on contractual cash flows and interest calculations using the appropriate discount rate.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Class E units held by the Adviser that were mandatorily redeemable and only subject to delays to the continuous obligation to ultimately redeem such units once sufficient availability exists under the share repurchase agreements (the “Mandatorily Redeemable Instruments”) were carried at their cash redemption value as if the units were repurchased or redeemable at the reporting date, which equals Class E NAV per unit at the reporting date. As of June 30, 2026, there are no outstanding Class E shares or Class E units held by the Adviser that are subject to mandatory repurchase requirements.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carrying amounts of financial instruments such as other assets, accounts payable, accrued expenses and other liabilities approximate their fair values due to the short-term maturities and market rates of interest of these instruments.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assets and liabilities measured at fair value on a recurring basis ($ in thousands):</w:t>
      </w:r>
    </w:p>
    <w:tbl>
      <w:tblPr>
        <w:tblW w:w="11653" w:type="dxa"/>
        <w:jc w:val="left"/>
        <w:tblInd w:w="0" w:type="dxa"/>
        <w:tblLayout w:type="fixed"/>
        <w:tblCellMar>
          <w:top w:w="28" w:type="dxa"/>
          <w:left w:w="28" w:type="dxa"/>
          <w:bottom w:w="28" w:type="dxa"/>
          <w:right w:w="28" w:type="dxa"/>
        </w:tblCellMar>
      </w:tblPr>
      <w:tblGrid>
        <w:gridCol w:w="501"/>
        <w:gridCol w:w="349"/>
        <w:gridCol w:w="351"/>
        <w:gridCol w:w="211"/>
        <w:gridCol w:w="40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320,446 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40" w:before="14" w:after="283"/>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(2)</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55,148 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Included in other assets, net on the Company’s Condensed Consolidated Balance Sheets.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Included in accounts payable, accrued expenses and other liabilities on the Company’s Condensed Consolidated Balance Sheets.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assets and liabilities measured at fair value on a recurring basis using Level 3 inputs ($ in thousands):</w:t>
      </w:r>
    </w:p>
    <w:tbl>
      <w:tblPr>
        <w:tblW w:w="10205" w:type="dxa"/>
        <w:jc w:val="left"/>
        <w:tblInd w:w="0" w:type="dxa"/>
        <w:tblLayout w:type="fixed"/>
        <w:tblCellMar>
          <w:top w:w="28" w:type="dxa"/>
          <w:left w:w="28" w:type="dxa"/>
          <w:bottom w:w="28" w:type="dxa"/>
          <w:right w:w="28" w:type="dxa"/>
        </w:tblCellMar>
      </w:tblPr>
      <w:tblGrid>
        <w:gridCol w:w="1125"/>
        <w:gridCol w:w="965"/>
        <w:gridCol w:w="968"/>
        <w:gridCol w:w="557"/>
        <w:gridCol w:w="2182"/>
        <w:gridCol w:w="287"/>
        <w:gridCol w:w="109"/>
        <w:gridCol w:w="109"/>
        <w:gridCol w:w="109"/>
        <w:gridCol w:w="735"/>
        <w:gridCol w:w="2516"/>
        <w:gridCol w:w="543"/>
      </w:tblGrid>
      <w:tr>
        <w:trPr/>
        <w:tc>
          <w:tcPr>
            <w:tcW w:w="112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(asset)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Mandatorily Redeemable Instruments (liability)</w:t>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28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54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(54,985)</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to distributions payable/paid</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28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the quantitative inputs and assumptions used for items categorized in Level 3 of the fair value hierarchy ($ in thousands):</w:t>
      </w:r>
    </w:p>
    <w:tbl>
      <w:tblPr>
        <w:tblW w:w="10205" w:type="dxa"/>
        <w:jc w:val="left"/>
        <w:tblInd w:w="0" w:type="dxa"/>
        <w:tblLayout w:type="fixed"/>
        <w:tblCellMar>
          <w:top w:w="28" w:type="dxa"/>
          <w:left w:w="28" w:type="dxa"/>
          <w:bottom w:w="28" w:type="dxa"/>
          <w:right w:w="28" w:type="dxa"/>
        </w:tblCellMar>
      </w:tblPr>
      <w:tblGrid>
        <w:gridCol w:w="574"/>
        <w:gridCol w:w="506"/>
        <w:gridCol w:w="508"/>
        <w:gridCol w:w="211"/>
        <w:gridCol w:w="826"/>
        <w:gridCol w:w="109"/>
        <w:gridCol w:w="109"/>
        <w:gridCol w:w="109"/>
        <w:gridCol w:w="109"/>
        <w:gridCol w:w="458"/>
        <w:gridCol w:w="428"/>
        <w:gridCol w:w="430"/>
        <w:gridCol w:w="109"/>
        <w:gridCol w:w="109"/>
        <w:gridCol w:w="109"/>
        <w:gridCol w:w="488"/>
        <w:gridCol w:w="488"/>
        <w:gridCol w:w="489"/>
        <w:gridCol w:w="109"/>
        <w:gridCol w:w="109"/>
        <w:gridCol w:w="109"/>
        <w:gridCol w:w="454"/>
        <w:gridCol w:w="454"/>
        <w:gridCol w:w="455"/>
        <w:gridCol w:w="109"/>
        <w:gridCol w:w="109"/>
        <w:gridCol w:w="109"/>
        <w:gridCol w:w="589"/>
        <w:gridCol w:w="589"/>
        <w:gridCol w:w="84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 Average Rate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to Valuation from an Increase in Input</w:t>
            </w:r>
          </w:p>
        </w:tc>
      </w:tr>
      <w:tr>
        <w:trPr/>
        <w:tc>
          <w:tcPr>
            <w:tcW w:w="15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5"/>
        <w:gridCol w:w="558"/>
        <w:gridCol w:w="561"/>
        <w:gridCol w:w="211"/>
        <w:gridCol w:w="826"/>
        <w:gridCol w:w="109"/>
        <w:gridCol w:w="109"/>
        <w:gridCol w:w="109"/>
        <w:gridCol w:w="109"/>
        <w:gridCol w:w="447"/>
        <w:gridCol w:w="416"/>
        <w:gridCol w:w="417"/>
        <w:gridCol w:w="109"/>
        <w:gridCol w:w="109"/>
        <w:gridCol w:w="109"/>
        <w:gridCol w:w="497"/>
        <w:gridCol w:w="497"/>
        <w:gridCol w:w="499"/>
        <w:gridCol w:w="109"/>
        <w:gridCol w:w="109"/>
        <w:gridCol w:w="109"/>
        <w:gridCol w:w="435"/>
        <w:gridCol w:w="435"/>
        <w:gridCol w:w="436"/>
        <w:gridCol w:w="109"/>
        <w:gridCol w:w="109"/>
        <w:gridCol w:w="109"/>
        <w:gridCol w:w="550"/>
        <w:gridCol w:w="550"/>
        <w:gridCol w:w="788"/>
      </w:tblGrid>
      <w:tr>
        <w:trPr/>
        <w:tc>
          <w:tcPr>
            <w:tcW w:w="66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 Average Rate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to Valuation from an Increase in Input</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Mandatorily Redeemable Instruments</w:t>
            </w:r>
            <w:r>
              <w:rPr>
                <w:rFonts w:ascii="Times New Roman;serif" w:hAnsi="Times New Roman;serif"/>
                <w:b w:val="false"/>
                <w:color w:val="000000"/>
                <w:sz w:val="13"/>
              </w:rPr>
              <w:t>(3)</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br/>
              <w:t>Exit capitalization rate/</w:t>
              <w:br/>
              <w:t>Market yield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7.52%/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6.07%/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SOFR” refers to the Secured Overnight Financing Rate at June 30, 2026.</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w:t>
      </w:r>
      <w:r>
        <w:rPr>
          <w:rFonts w:ascii="Times New Roman;serif" w:hAnsi="Times New Roman;serif"/>
          <w:b w:val="false"/>
          <w:color w:val="000000"/>
          <w:sz w:val="20"/>
        </w:rPr>
        <w:t>SOFR” refers to the Secured Overnight Financing Rate at December 31, 2025.</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Mandatorily Redeemable Instruments are carried at the NAV of the Class E units, which is determined monthly in accordance with the Company's valuation guidelines.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Valuation of assets and liabilities not measured at fair value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instruments (other than mortgage notes, repurchase facility and the unsecured revolving credit facility), including cash and cash equivalents and other financial instruments, approximate their carrying or contract value. The fair value of the Company’s indebtedness is estimated by modeling the cash flows required by the Company’s debt agreements and discounting them back to the present value using an appropriate discount rate. Additionally, the Company considers current market rates and conditions by evaluating similar borrowing agreements with comparable loan-to-value ratios and credit profiles. The inputs used in determining the fair value of the Company’s indebtedness are considered Level 3.</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fair value of financial instruments that are not carried at fair value on the Condensed Consolidated Balance Sheets ($ in thousands):</w:t>
      </w:r>
    </w:p>
    <w:tbl>
      <w:tblPr>
        <w:tblW w:w="9480" w:type="dxa"/>
        <w:jc w:val="left"/>
        <w:tblInd w:w="0" w:type="dxa"/>
        <w:tblLayout w:type="fixed"/>
        <w:tblCellMar>
          <w:top w:w="28" w:type="dxa"/>
          <w:left w:w="28" w:type="dxa"/>
          <w:bottom w:w="28" w:type="dxa"/>
          <w:right w:w="28" w:type="dxa"/>
        </w:tblCellMar>
      </w:tblPr>
      <w:tblGrid>
        <w:gridCol w:w="1071"/>
        <w:gridCol w:w="938"/>
        <w:gridCol w:w="945"/>
        <w:gridCol w:w="295"/>
        <w:gridCol w:w="1157"/>
        <w:gridCol w:w="152"/>
        <w:gridCol w:w="109"/>
        <w:gridCol w:w="109"/>
        <w:gridCol w:w="109"/>
        <w:gridCol w:w="211"/>
        <w:gridCol w:w="826"/>
        <w:gridCol w:w="109"/>
        <w:gridCol w:w="109"/>
        <w:gridCol w:w="109"/>
        <w:gridCol w:w="109"/>
        <w:gridCol w:w="295"/>
        <w:gridCol w:w="1157"/>
        <w:gridCol w:w="152"/>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Carrying Value</w:t>
            </w:r>
            <w:r>
              <w:rPr>
                <w:rFonts w:ascii="Times New Roman;serif" w:hAnsi="Times New Roman;serif"/>
                <w:b/>
                <w:color w:val="000000"/>
                <w:sz w:val="13"/>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Carrying Value</w:t>
            </w:r>
            <w:r>
              <w:rPr>
                <w:rFonts w:ascii="Times New Roman;serif" w:hAnsi="Times New Roman;serif"/>
                <w:b/>
                <w:color w:val="000000"/>
                <w:sz w:val="13"/>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w:t>
            </w:r>
          </w:p>
        </w:tc>
        <w:tc>
          <w:tcPr>
            <w:tcW w:w="29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5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15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366,381 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652,840 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650,056 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607,091 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607,831 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Excludes deferred financing costs and discounts.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76" w:before="0" w:after="120"/>
        <w:jc w:val="left"/>
        <w:rPr/>
      </w:pPr>
      <w:r>
        <w:rPr>
          <w:rFonts w:ascii="Times New Roman;serif" w:hAnsi="Times New Roman;serif"/>
          <w:b w:val="false"/>
          <w:color w:val="000000"/>
          <w:sz w:val="20"/>
        </w:rPr>
        <w:t xml:space="preserve">In November 2024, the Financial Accounting Standards Board (“FASB”) issued ASU 2024-03,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 xml:space="preserve">(Subtopic 220-40):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lineRule="auto" w:line="276" w:before="0" w:after="120"/>
        <w:jc w:val="left"/>
        <w:rPr/>
      </w:pPr>
      <w:r>
        <w:rPr>
          <w:rFonts w:ascii="Times New Roman;serif" w:hAnsi="Times New Roman;serif"/>
          <w:b w:val="false"/>
          <w:color w:val="000000"/>
          <w:sz w:val="20"/>
        </w:rPr>
        <w:t xml:space="preserve">In December 2025, FASB issued ASU 2025-09,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(Topic 815): </w:t>
      </w:r>
      <w:r>
        <w:rPr>
          <w:rFonts w:ascii="Times New Roman;serif" w:hAnsi="Times New Roman;serif"/>
          <w:b w:val="false"/>
          <w:i/>
          <w:color w:val="000000"/>
          <w:sz w:val="20"/>
        </w:rPr>
        <w:t>Hedge Accounting Improvements</w:t>
      </w:r>
      <w:r>
        <w:rPr>
          <w:rFonts w:ascii="Times New Roman;serif" w:hAnsi="Times New Roman;serif"/>
          <w:b w:val="false"/>
          <w:color w:val="000000"/>
          <w:sz w:val="20"/>
        </w:rPr>
        <w:t xml:space="preserve">, which amends the guidance in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update refines certain hedge accounting requirements, including clarifications to the designation and documentation criteria for hedge relationships, improvements to the assessment of hedge effectiveness, and enhanced disclosures intended to provide greater transparency into an entity’s risk management activities involving derivatives. ASU 2025-09 is effective for annual periods beginning after December 15, 2026, including interim periods within those annual periods, and early adoption is permitted. The Company is currently evaluating the potential impact of the guidance and potential additional disclosures required.</w:t>
      </w:r>
    </w:p>
    <w:p>
      <w:pPr>
        <w:pStyle w:val="TextBody"/>
        <w:bidi w:val="0"/>
        <w:spacing w:lineRule="auto" w:line="276" w:before="0" w:after="120"/>
        <w:jc w:val="left"/>
        <w:rPr/>
      </w:pPr>
      <w:r>
        <w:rPr>
          <w:rFonts w:ascii="Times New Roman;serif" w:hAnsi="Times New Roman;serif"/>
          <w:b w:val="false"/>
          <w:color w:val="000000"/>
          <w:sz w:val="20"/>
        </w:rPr>
        <w:t xml:space="preserve">In December 2025, FASB issued ASU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 xml:space="preserve">(Topic 270): </w:t>
      </w:r>
      <w:r>
        <w:rPr>
          <w:rFonts w:ascii="Times New Roman;serif" w:hAnsi="Times New Roman;serif"/>
          <w:b w:val="false"/>
          <w:i/>
          <w:color w:val="000000"/>
          <w:sz w:val="20"/>
        </w:rPr>
        <w:t>Narrow-Scope Improvements</w:t>
      </w:r>
      <w:r>
        <w:rPr>
          <w:color w:val="000000"/>
        </w:rPr>
        <w:t xml:space="preserve"> </w:t>
      </w:r>
      <w:r>
        <w:rPr>
          <w:rFonts w:ascii="Times New Roman;serif" w:hAnsi="Times New Roman;serif"/>
          <w:b w:val="false"/>
          <w:color w:val="000000"/>
          <w:sz w:val="20"/>
        </w:rPr>
        <w:t>(“ASU 2025-11”). ASU 2025-11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2026. The Company is currently evaluating the potential impact of the guidance and potential additional disclosures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4. Investments in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net consisted of the following ($ in thousands):</w:t>
      </w:r>
    </w:p>
    <w:tbl>
      <w:tblPr>
        <w:tblW w:w="6541" w:type="dxa"/>
        <w:jc w:val="left"/>
        <w:tblInd w:w="0" w:type="dxa"/>
        <w:tblLayout w:type="fixed"/>
        <w:tblCellMar>
          <w:top w:w="28" w:type="dxa"/>
          <w:left w:w="28" w:type="dxa"/>
          <w:bottom w:w="28" w:type="dxa"/>
          <w:right w:w="28" w:type="dxa"/>
        </w:tblCellMar>
      </w:tblPr>
      <w:tblGrid>
        <w:gridCol w:w="1140"/>
        <w:gridCol w:w="1002"/>
        <w:gridCol w:w="1007"/>
        <w:gridCol w:w="211"/>
        <w:gridCol w:w="976"/>
        <w:gridCol w:w="109"/>
        <w:gridCol w:w="109"/>
        <w:gridCol w:w="109"/>
        <w:gridCol w:w="109"/>
        <w:gridCol w:w="278"/>
        <w:gridCol w:w="1288"/>
        <w:gridCol w:w="20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904,135 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844,419 </w:t>
            </w:r>
          </w:p>
        </w:tc>
        <w:tc>
          <w:tcPr>
            <w:tcW w:w="20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345,103 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1,197,877 </w:t>
            </w:r>
          </w:p>
        </w:tc>
        <w:tc>
          <w:tcPr>
            <w:tcW w:w="2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net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1,219,081 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1,159,632 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24, 2026, the Company acquired a 114-unit, 55+ active adult mid-rise rental community located in the Philadelphia, Pennsylvania Metropolitan Statistical Area for $28.7 million, excluding closing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June 25, 2026, the Company acquired a seven-building office portfolio in the Boston, Massachusetts Metropolitan Statistical Area. The total purchase price was $61.0 million, excluding closing costs. The portfolio was acquired through a joint venture, of which the Company owns 97.5%.</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properties acquired during the six months ended June 30, 2026 ($ and square feet in thousands):</w:t>
      </w:r>
    </w:p>
    <w:tbl>
      <w:tblPr>
        <w:tblW w:w="9317" w:type="dxa"/>
        <w:jc w:val="left"/>
        <w:tblInd w:w="0" w:type="dxa"/>
        <w:tblLayout w:type="fixed"/>
        <w:tblCellMar>
          <w:top w:w="28" w:type="dxa"/>
          <w:left w:w="28" w:type="dxa"/>
          <w:bottom w:w="28" w:type="dxa"/>
          <w:right w:w="28" w:type="dxa"/>
        </w:tblCellMar>
      </w:tblPr>
      <w:tblGrid>
        <w:gridCol w:w="554"/>
        <w:gridCol w:w="487"/>
        <w:gridCol w:w="489"/>
        <w:gridCol w:w="313"/>
        <w:gridCol w:w="1070"/>
        <w:gridCol w:w="161"/>
        <w:gridCol w:w="109"/>
        <w:gridCol w:w="109"/>
        <w:gridCol w:w="109"/>
        <w:gridCol w:w="719"/>
        <w:gridCol w:w="719"/>
        <w:gridCol w:w="721"/>
        <w:gridCol w:w="109"/>
        <w:gridCol w:w="109"/>
        <w:gridCol w:w="109"/>
        <w:gridCol w:w="644"/>
        <w:gridCol w:w="644"/>
        <w:gridCol w:w="646"/>
        <w:gridCol w:w="109"/>
        <w:gridCol w:w="109"/>
        <w:gridCol w:w="109"/>
        <w:gridCol w:w="341"/>
        <w:gridCol w:w="341"/>
        <w:gridCol w:w="487"/>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Property Type</w:t>
            </w:r>
            <w:r>
              <w:rPr>
                <w:rFonts w:ascii="Times New Roman;serif" w:hAnsi="Times New Roman;serif"/>
                <w:b/>
                <w:color w:val="000000"/>
                <w:sz w:val="13"/>
              </w:rPr>
              <w:t>(1)</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Purchase Price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Sq. Ft./Units</w:t>
            </w:r>
          </w:p>
        </w:tc>
      </w:tr>
      <w:tr>
        <w:trPr/>
        <w:tc>
          <w:tcPr>
            <w:tcW w:w="15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 units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Office</w:t>
            </w:r>
            <w:r>
              <w:rPr>
                <w:rFonts w:ascii="Times New Roman;serif" w:hAnsi="Times New Roman;serif"/>
                <w:b w:val="false"/>
                <w:color w:val="000000"/>
                <w:sz w:val="13"/>
              </w:rPr>
              <w:t>(3)</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958 sq. ft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investment in a joint venture, of which the Company owns 98%, to originate construction loans to develop single-tenant, net leased, retail properties. During the six months ended June 30, 2026, the Company contributed $13.3 million, net of distributions, to the joint venture.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Purchase price is inclusive of acquisition-related costs.</w:t>
      </w:r>
    </w:p>
    <w:p>
      <w:pPr>
        <w:pStyle w:val="TextBody"/>
        <w:bidi w:val="0"/>
        <w:spacing w:lineRule="auto" w:line="276"/>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$8.5 million related to certain sales-type leases that were recorded as investments in real estate, net and subsequently reclassified to other assets, net on the Company’s Condensed Consolidated Balance Sheets.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purchase price allocation for the properties acquired during the six months ended June 30, 2026 ($ in thousands):</w:t>
      </w:r>
    </w:p>
    <w:tbl>
      <w:tblPr>
        <w:tblW w:w="7199" w:type="dxa"/>
        <w:jc w:val="left"/>
        <w:tblInd w:w="0" w:type="dxa"/>
        <w:tblLayout w:type="fixed"/>
        <w:tblCellMar>
          <w:top w:w="28" w:type="dxa"/>
          <w:left w:w="28" w:type="dxa"/>
          <w:bottom w:w="28" w:type="dxa"/>
          <w:right w:w="28" w:type="dxa"/>
        </w:tblCellMar>
      </w:tblPr>
      <w:tblGrid>
        <w:gridCol w:w="1352"/>
        <w:gridCol w:w="1188"/>
        <w:gridCol w:w="1194"/>
        <w:gridCol w:w="673"/>
        <w:gridCol w:w="2301"/>
        <w:gridCol w:w="491"/>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and above market intangibles</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intangibles</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working capital assumed</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applied</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price</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86,644 </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5. 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investments in real estate debt ($ in thousands):</w:t>
      </w:r>
    </w:p>
    <w:tbl>
      <w:tblPr>
        <w:tblW w:w="13295" w:type="dxa"/>
        <w:jc w:val="left"/>
        <w:tblInd w:w="0" w:type="dxa"/>
        <w:tblLayout w:type="fixed"/>
        <w:tblCellMar>
          <w:top w:w="28" w:type="dxa"/>
          <w:left w:w="28" w:type="dxa"/>
          <w:bottom w:w="28" w:type="dxa"/>
          <w:right w:w="28" w:type="dxa"/>
        </w:tblCellMar>
      </w:tblPr>
      <w:tblGrid>
        <w:gridCol w:w="549"/>
        <w:gridCol w:w="355"/>
        <w:gridCol w:w="207"/>
        <w:gridCol w:w="109"/>
        <w:gridCol w:w="109"/>
        <w:gridCol w:w="109"/>
        <w:gridCol w:w="290"/>
        <w:gridCol w:w="290"/>
        <w:gridCol w:w="291"/>
        <w:gridCol w:w="109"/>
        <w:gridCol w:w="109"/>
        <w:gridCol w:w="109"/>
        <w:gridCol w:w="225"/>
        <w:gridCol w:w="225"/>
        <w:gridCol w:w="226"/>
        <w:gridCol w:w="109"/>
        <w:gridCol w:w="109"/>
        <w:gridCol w:w="109"/>
        <w:gridCol w:w="565"/>
        <w:gridCol w:w="565"/>
        <w:gridCol w:w="566"/>
        <w:gridCol w:w="109"/>
        <w:gridCol w:w="109"/>
        <w:gridCol w:w="109"/>
        <w:gridCol w:w="565"/>
        <w:gridCol w:w="565"/>
        <w:gridCol w:w="56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Rated</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Originations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January 14, 2026, the Company originated an $84.0 million whole loan, of which $80.0 million has been funded, for the acquisition and renovation of a 198-unit, 1986-vintage, townhome style multifamily property in the San Diego, California Metropolitan Statistical Area.</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recognized for the Company's investments in real estate debt ($ in thousands):</w:t>
      </w:r>
    </w:p>
    <w:tbl>
      <w:tblPr>
        <w:tblW w:w="7096" w:type="dxa"/>
        <w:jc w:val="left"/>
        <w:tblInd w:w="0" w:type="dxa"/>
        <w:tblLayout w:type="fixed"/>
        <w:tblCellMar>
          <w:top w:w="28" w:type="dxa"/>
          <w:left w:w="28" w:type="dxa"/>
          <w:bottom w:w="28" w:type="dxa"/>
          <w:right w:w="28" w:type="dxa"/>
        </w:tblCellMar>
      </w:tblPr>
      <w:tblGrid>
        <w:gridCol w:w="684"/>
        <w:gridCol w:w="600"/>
        <w:gridCol w:w="605"/>
        <w:gridCol w:w="243"/>
        <w:gridCol w:w="710"/>
        <w:gridCol w:w="125"/>
        <w:gridCol w:w="125"/>
        <w:gridCol w:w="125"/>
        <w:gridCol w:w="125"/>
        <w:gridCol w:w="243"/>
        <w:gridCol w:w="710"/>
        <w:gridCol w:w="125"/>
        <w:gridCol w:w="109"/>
        <w:gridCol w:w="109"/>
        <w:gridCol w:w="109"/>
        <w:gridCol w:w="211"/>
        <w:gridCol w:w="721"/>
        <w:gridCol w:w="109"/>
        <w:gridCol w:w="109"/>
        <w:gridCol w:w="109"/>
        <w:gridCol w:w="109"/>
        <w:gridCol w:w="211"/>
        <w:gridCol w:w="61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6. Investments in Real Estate-Related and Other Securities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investments in real estate-related and other securities ($ in thousands):</w:t>
      </w:r>
    </w:p>
    <w:tbl>
      <w:tblPr>
        <w:tblW w:w="13650"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565"/>
        <w:gridCol w:w="565"/>
        <w:gridCol w:w="566"/>
        <w:gridCol w:w="109"/>
        <w:gridCol w:w="109"/>
        <w:gridCol w:w="109"/>
        <w:gridCol w:w="565"/>
        <w:gridCol w:w="565"/>
        <w:gridCol w:w="56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Estate-Related and Other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r>
      <w:tr>
        <w:trPr/>
        <w:tc>
          <w:tcPr>
            <w:tcW w:w="135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2039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recognized for the Company's investments in real estate-related and other securities ($ in thousands):</w:t>
      </w:r>
    </w:p>
    <w:tbl>
      <w:tblPr>
        <w:tblW w:w="7080" w:type="dxa"/>
        <w:jc w:val="left"/>
        <w:tblInd w:w="0" w:type="dxa"/>
        <w:tblLayout w:type="fixed"/>
        <w:tblCellMar>
          <w:top w:w="28" w:type="dxa"/>
          <w:left w:w="28" w:type="dxa"/>
          <w:bottom w:w="28" w:type="dxa"/>
          <w:right w:w="28" w:type="dxa"/>
        </w:tblCellMar>
      </w:tblPr>
      <w:tblGrid>
        <w:gridCol w:w="684"/>
        <w:gridCol w:w="600"/>
        <w:gridCol w:w="605"/>
        <w:gridCol w:w="261"/>
        <w:gridCol w:w="576"/>
        <w:gridCol w:w="134"/>
        <w:gridCol w:w="134"/>
        <w:gridCol w:w="134"/>
        <w:gridCol w:w="134"/>
        <w:gridCol w:w="261"/>
        <w:gridCol w:w="762"/>
        <w:gridCol w:w="134"/>
        <w:gridCol w:w="109"/>
        <w:gridCol w:w="109"/>
        <w:gridCol w:w="109"/>
        <w:gridCol w:w="235"/>
        <w:gridCol w:w="520"/>
        <w:gridCol w:w="121"/>
        <w:gridCol w:w="121"/>
        <w:gridCol w:w="121"/>
        <w:gridCol w:w="121"/>
        <w:gridCol w:w="235"/>
        <w:gridCol w:w="688"/>
        <w:gridCol w:w="17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w:t>
            </w:r>
          </w:p>
        </w:tc>
        <w:tc>
          <w:tcPr>
            <w:tcW w:w="8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7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7. Intangibles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and liabilities consisted of the following ($ in thousands):</w:t>
      </w:r>
    </w:p>
    <w:tbl>
      <w:tblPr>
        <w:tblW w:w="6175" w:type="dxa"/>
        <w:jc w:val="left"/>
        <w:tblInd w:w="0" w:type="dxa"/>
        <w:tblLayout w:type="fixed"/>
        <w:tblCellMar>
          <w:top w:w="28" w:type="dxa"/>
          <w:left w:w="28" w:type="dxa"/>
          <w:bottom w:w="28" w:type="dxa"/>
          <w:right w:w="28" w:type="dxa"/>
        </w:tblCellMar>
      </w:tblPr>
      <w:tblGrid>
        <w:gridCol w:w="1016"/>
        <w:gridCol w:w="890"/>
        <w:gridCol w:w="898"/>
        <w:gridCol w:w="241"/>
        <w:gridCol w:w="910"/>
        <w:gridCol w:w="124"/>
        <w:gridCol w:w="109"/>
        <w:gridCol w:w="109"/>
        <w:gridCol w:w="109"/>
        <w:gridCol w:w="321"/>
        <w:gridCol w:w="1214"/>
        <w:gridCol w:w="234"/>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27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intangibles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Above-market lease intangibles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1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104,371 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80,874 </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Above-market lease amortization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11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(22,326)</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73,445 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58,548 </w:t>
            </w:r>
          </w:p>
        </w:tc>
        <w:tc>
          <w:tcPr>
            <w:tcW w:w="2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liabilities:</w:t>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intangibles</w:t>
            </w:r>
          </w:p>
        </w:tc>
        <w:tc>
          <w:tcPr>
            <w:tcW w:w="24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amortization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liabilities, net</w:t>
            </w:r>
          </w:p>
        </w:tc>
        <w:tc>
          <w:tcPr>
            <w:tcW w:w="2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future amortization on the Company’s intangibles for each of the next five years and thereafter as of June 30, 2026 is as follows ($ in thousands):</w:t>
      </w:r>
    </w:p>
    <w:tbl>
      <w:tblPr>
        <w:tblW w:w="6997" w:type="dxa"/>
        <w:jc w:val="left"/>
        <w:tblInd w:w="0" w:type="dxa"/>
        <w:tblLayout w:type="fixed"/>
        <w:tblCellMar>
          <w:top w:w="28" w:type="dxa"/>
          <w:left w:w="28" w:type="dxa"/>
          <w:bottom w:w="28" w:type="dxa"/>
          <w:right w:w="28" w:type="dxa"/>
        </w:tblCellMar>
      </w:tblPr>
      <w:tblGrid>
        <w:gridCol w:w="553"/>
        <w:gridCol w:w="486"/>
        <w:gridCol w:w="490"/>
        <w:gridCol w:w="322"/>
        <w:gridCol w:w="1100"/>
        <w:gridCol w:w="168"/>
        <w:gridCol w:w="109"/>
        <w:gridCol w:w="109"/>
        <w:gridCol w:w="109"/>
        <w:gridCol w:w="357"/>
        <w:gridCol w:w="1046"/>
        <w:gridCol w:w="186"/>
        <w:gridCol w:w="109"/>
        <w:gridCol w:w="109"/>
        <w:gridCol w:w="109"/>
        <w:gridCol w:w="346"/>
        <w:gridCol w:w="1035"/>
        <w:gridCol w:w="2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In-place</w:t>
              <w:br/>
              <w:t>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Above-market</w:t>
              <w:br/>
              <w:t>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Below-market</w:t>
              <w:br/>
              <w:t>Lease Intangibles</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16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2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67,463 </w:t>
            </w:r>
          </w:p>
        </w:tc>
        <w:tc>
          <w:tcPr>
            <w:tcW w:w="16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8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2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520"/>
        <w:jc w:val="left"/>
        <w:rPr>
          <w:rFonts w:ascii="Times New Roman;serif" w:hAnsi="Times New Roman;serif"/>
          <w:b w:val="false"/>
          <w:color w:val="000000"/>
          <w:sz w:val="20"/>
        </w:rPr>
      </w:pPr>
      <w:r>
        <w:rPr>
          <w:rFonts w:ascii="Times New Roman;serif" w:hAnsi="Times New Roman;serif"/>
          <w:b w:val="false"/>
          <w:color w:val="000000"/>
          <w:sz w:val="20"/>
        </w:rPr>
        <w:t>The in-place lease intangible amortization is recorded in depreciation and amortization while the above-market and below-market intangible amortization is recorded in rental revenue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8. Mortgage Notes, Repurchase Facility and Unsecured Revolving Credit Facility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 notes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mortgage notes secured by the Company’s properties ($ in thousands):</w:t>
      </w:r>
    </w:p>
    <w:tbl>
      <w:tblPr>
        <w:tblW w:w="10205" w:type="dxa"/>
        <w:jc w:val="left"/>
        <w:tblInd w:w="0" w:type="dxa"/>
        <w:tblLayout w:type="fixed"/>
        <w:tblCellMar>
          <w:top w:w="28" w:type="dxa"/>
          <w:left w:w="28" w:type="dxa"/>
          <w:bottom w:w="28" w:type="dxa"/>
          <w:right w:w="28" w:type="dxa"/>
        </w:tblCellMar>
      </w:tblPr>
      <w:tblGrid>
        <w:gridCol w:w="1177"/>
        <w:gridCol w:w="1033"/>
        <w:gridCol w:w="1039"/>
        <w:gridCol w:w="109"/>
        <w:gridCol w:w="109"/>
        <w:gridCol w:w="109"/>
        <w:gridCol w:w="397"/>
        <w:gridCol w:w="397"/>
        <w:gridCol w:w="399"/>
        <w:gridCol w:w="109"/>
        <w:gridCol w:w="109"/>
        <w:gridCol w:w="109"/>
        <w:gridCol w:w="523"/>
        <w:gridCol w:w="506"/>
        <w:gridCol w:w="508"/>
        <w:gridCol w:w="109"/>
        <w:gridCol w:w="109"/>
        <w:gridCol w:w="109"/>
        <w:gridCol w:w="229"/>
        <w:gridCol w:w="901"/>
        <w:gridCol w:w="117"/>
        <w:gridCol w:w="111"/>
        <w:gridCol w:w="111"/>
        <w:gridCol w:w="111"/>
        <w:gridCol w:w="293"/>
        <w:gridCol w:w="1150"/>
        <w:gridCol w:w="222"/>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Outstanding</w:t>
            </w:r>
          </w:p>
        </w:tc>
      </w:tr>
      <w:tr>
        <w:trPr/>
        <w:tc>
          <w:tcPr>
            <w:tcW w:w="324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Indebtedness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4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Fixed rate debt secured by our properties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Elmstead</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239,747 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240,274 </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rate debt secured by our properties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6200 Bristol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Norfolk Industrial Portfolio</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Preserve at Pine Valley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Vineyard Commons</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Stablewood</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variable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129,643 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125,367 </w:t>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discount,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secured by our properties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364,066 </w:t>
            </w:r>
          </w:p>
        </w:tc>
        <w:tc>
          <w:tcPr>
            <w:tcW w:w="11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359,445 </w:t>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This loan is comprised of a senior and a mezzanine loan. The interest rate and maturity date presented are the weighted average.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entered into an interest rate swap that was not designated as a hedge, which fixed the rate at 6.26%.</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The Company entered into an interest rate swap that was not designated as a hedge, which fixed the rate at 5.41%.</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 entered into an interest rate swap that was not designated as a hedge, which fixed the rate at 4.90%.</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The Company entered into an interest rate swap that was not designated as a hedge, which fixed the rate at 4.88%.</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a line of credit secured by real estate with a maximum facility size of $50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future principal payments due under the Company’s mortgage notes as of June 30, 2026 ($ in thousands):</w:t>
      </w:r>
    </w:p>
    <w:tbl>
      <w:tblPr>
        <w:tblW w:w="4511" w:type="dxa"/>
        <w:jc w:val="left"/>
        <w:tblInd w:w="0" w:type="dxa"/>
        <w:tblLayout w:type="fixed"/>
        <w:tblCellMar>
          <w:top w:w="28" w:type="dxa"/>
          <w:left w:w="28" w:type="dxa"/>
          <w:bottom w:w="28" w:type="dxa"/>
          <w:right w:w="28" w:type="dxa"/>
        </w:tblCellMar>
      </w:tblPr>
      <w:tblGrid>
        <w:gridCol w:w="971"/>
        <w:gridCol w:w="852"/>
        <w:gridCol w:w="862"/>
        <w:gridCol w:w="109"/>
        <w:gridCol w:w="109"/>
        <w:gridCol w:w="109"/>
        <w:gridCol w:w="265"/>
        <w:gridCol w:w="1040"/>
        <w:gridCol w:w="194"/>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Mortgage Notes</w:t>
            </w:r>
          </w:p>
        </w:tc>
      </w:tr>
      <w:tr>
        <w:trPr/>
        <w:tc>
          <w:tcPr>
            <w:tcW w:w="26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41,856 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166,662 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9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22, 2024, the Company entered into a Master Repurchase Agreement (the “Repurchase Facility”). The Repurchase Facility initially provided for a maximum aggregate purchase price of $150 million and has a three-year term plus two, one-year extension options. Subject to the terms and conditions thereof, the Repurchase Facility provides for the purchase, sale and repurchase of senior mortgage loans and participation interests in performing senior mortgage loans satisfying certain conditions set forth in the Repurchase Facility. On November 14, 2025, the Repurchase Facility was amended to increase maximum aggregate purchase price from $150 million to $250 million.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Advances under the Repurchase Facility accrue interest at a per annum rate equal to the Term SOFR Base Rate (as defined in the Repurchase Facility) for a one-month period plus a margin as agreed upon for each transaction. The Repurchase Facility contains affirmative and negative covenants and provisions regarding events of default. The Operating Partnership has agreed to provide a limited guarantee of the obligations of the Company under the 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Borrowings from the Repurchase Facility were used to originate the commercial mortgage loans (see Note 5).</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borrowings from the Repurchase Facility as of June 30, 2026 and December 31, 2025 are detailed in the following table ($ in thousands):</w:t>
      </w:r>
    </w:p>
    <w:tbl>
      <w:tblPr>
        <w:tblW w:w="10205" w:type="dxa"/>
        <w:jc w:val="left"/>
        <w:tblInd w:w="0" w:type="dxa"/>
        <w:tblLayout w:type="fixed"/>
        <w:tblCellMar>
          <w:top w:w="28" w:type="dxa"/>
          <w:left w:w="28" w:type="dxa"/>
          <w:bottom w:w="28" w:type="dxa"/>
          <w:right w:w="28" w:type="dxa"/>
        </w:tblCellMar>
      </w:tblPr>
      <w:tblGrid>
        <w:gridCol w:w="520"/>
        <w:gridCol w:w="457"/>
        <w:gridCol w:w="459"/>
        <w:gridCol w:w="236"/>
        <w:gridCol w:w="924"/>
        <w:gridCol w:w="121"/>
        <w:gridCol w:w="109"/>
        <w:gridCol w:w="109"/>
        <w:gridCol w:w="109"/>
        <w:gridCol w:w="619"/>
        <w:gridCol w:w="619"/>
        <w:gridCol w:w="620"/>
        <w:gridCol w:w="109"/>
        <w:gridCol w:w="109"/>
        <w:gridCol w:w="109"/>
        <w:gridCol w:w="625"/>
        <w:gridCol w:w="625"/>
        <w:gridCol w:w="626"/>
        <w:gridCol w:w="109"/>
        <w:gridCol w:w="109"/>
        <w:gridCol w:w="109"/>
        <w:gridCol w:w="214"/>
        <w:gridCol w:w="839"/>
        <w:gridCol w:w="110"/>
        <w:gridCol w:w="109"/>
        <w:gridCol w:w="109"/>
        <w:gridCol w:w="109"/>
        <w:gridCol w:w="225"/>
        <w:gridCol w:w="884"/>
        <w:gridCol w:w="17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Facility Size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3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2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1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227,883 </w:t>
            </w:r>
          </w:p>
        </w:tc>
        <w:tc>
          <w:tcPr>
            <w:tcW w:w="1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167,863 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financial and operational covenants under certain of its mortgage notes and the Repurchase Facility. These covenants require the Company to maintain certain financial ratios, which may include leverage, debt yield, and debt service coverage, among others. As of June 30, 2026, the Company was in compliance with its loan covenants.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Unsecured revolving credit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15, 2025, the Operating Partnership, as a borrower and certain subsidiaries of the Operating Partnership party thereto from time to time, as designated borrowers, entered into a credit agreement (the “Credit Agreement”) with Truist Bank (“Truist”), as the administrative agent and a letter of credit issuer, and each lender party thereto from time to time (the “Lenders”). The Credit Agreement provides for unsecured revolving credit commitments in an aggregate amount of up to $325.0 million for revolving loans and letter of credit issuances, with an accordion feature pursuant to which the borrowers may request to increase the revolving commitments and create new term loan tranches in an additional aggregate amount of up to $675.0 million, subject to the satisfaction of certain conditions (the “Credit Facility”). The proceeds of the Credit Facility will be used for general business purposes, including, debt refinancing, property acquisitions, new construction, renovations, capital expenditures, expansions, tenant improvements, leasing commissions, refinancing of existing lines, financing acquisition of permitted investments, dividends, redemptions, closing costs and equity investments primarily associated with commercial real estate property acquisitions or refinancings. The Credit Facility is guaranteed by the Company and certain subsidiaries of the Operating Partnership.</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At the Operating Partnership’s election, revolving loans advanced under the Credit Agreement shall bear interest at a rate per annum equal to (a) a forward-looking term rate based on the secured overnight financing rate for the applicable interest period (“Term SOFR”), as selected by the Operating Partnership, plus an applicable margin ranging between 1.30% and 1.80% per annum (“Term SOFR Margin”), or (b) the highest of (i) the federal funds rate plus 0.50%, (ii) Truist’s prime rate, (iii) Term SOFR for a one month tenor in effect on such day plus 1.00%, and (iv) 1.00% (“Base Rate”), plus an applicable margin ranging between 0.30% and 0.80% per annum (“Base Rate Margin”). Letters of credit issued under the Credit Facility will accrue a letter of credit fee equal to the applicable Term SOFR Margin times the daily amount available to be drawn under such letter of credit.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Revolving loans and letters of credit under the Credit Facility will mature on July 15, 2028, subject to any earlier termination in accordance with the terms of the Credit Agreement and to certain extension options detailed therein.</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borrowings from the Credit Facility as of June 30, 2026 and December 31, 2025 are detailed in the following table ($ in thousands):</w:t>
      </w:r>
    </w:p>
    <w:tbl>
      <w:tblPr>
        <w:tblW w:w="10205" w:type="dxa"/>
        <w:jc w:val="left"/>
        <w:tblInd w:w="0" w:type="dxa"/>
        <w:tblLayout w:type="fixed"/>
        <w:tblCellMar>
          <w:top w:w="28" w:type="dxa"/>
          <w:left w:w="28" w:type="dxa"/>
          <w:bottom w:w="28" w:type="dxa"/>
          <w:right w:w="28" w:type="dxa"/>
        </w:tblCellMar>
      </w:tblPr>
      <w:tblGrid>
        <w:gridCol w:w="388"/>
        <w:gridCol w:w="341"/>
        <w:gridCol w:w="342"/>
        <w:gridCol w:w="311"/>
        <w:gridCol w:w="1219"/>
        <w:gridCol w:w="160"/>
        <w:gridCol w:w="109"/>
        <w:gridCol w:w="109"/>
        <w:gridCol w:w="109"/>
        <w:gridCol w:w="782"/>
        <w:gridCol w:w="782"/>
        <w:gridCol w:w="784"/>
        <w:gridCol w:w="109"/>
        <w:gridCol w:w="109"/>
        <w:gridCol w:w="109"/>
        <w:gridCol w:w="373"/>
        <w:gridCol w:w="373"/>
        <w:gridCol w:w="375"/>
        <w:gridCol w:w="109"/>
        <w:gridCol w:w="109"/>
        <w:gridCol w:w="109"/>
        <w:gridCol w:w="238"/>
        <w:gridCol w:w="815"/>
        <w:gridCol w:w="122"/>
        <w:gridCol w:w="109"/>
        <w:gridCol w:w="109"/>
        <w:gridCol w:w="109"/>
        <w:gridCol w:w="288"/>
        <w:gridCol w:w="984"/>
        <w:gridCol w:w="220"/>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Facility 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2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Credit Agreement, the Company has made certain representations and warranties and must comply with various covenants and reporting requirements. The Credit Agreement contains events of default for financings of this type. Upon the occurrence of certain events of default, Truist, as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 to make letter of credit extensions, demand that existing letters of credit be cash collateralized, and declare the outstanding loans and other obligations under the Credit Facility immediately due and payable. As of June 30, 2026, the Company was in compliance with its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Due to Affiliates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due to affiliates ($ in thousands):</w:t>
      </w:r>
    </w:p>
    <w:tbl>
      <w:tblPr>
        <w:tblW w:w="7180" w:type="dxa"/>
        <w:jc w:val="left"/>
        <w:tblInd w:w="0" w:type="dxa"/>
        <w:tblLayout w:type="fixed"/>
        <w:tblCellMar>
          <w:top w:w="28" w:type="dxa"/>
          <w:left w:w="28" w:type="dxa"/>
          <w:bottom w:w="28" w:type="dxa"/>
          <w:right w:w="28" w:type="dxa"/>
        </w:tblCellMar>
      </w:tblPr>
      <w:tblGrid>
        <w:gridCol w:w="1380"/>
        <w:gridCol w:w="1210"/>
        <w:gridCol w:w="1219"/>
        <w:gridCol w:w="258"/>
        <w:gridCol w:w="883"/>
        <w:gridCol w:w="133"/>
        <w:gridCol w:w="109"/>
        <w:gridCol w:w="109"/>
        <w:gridCol w:w="109"/>
        <w:gridCol w:w="344"/>
        <w:gridCol w:w="1175"/>
        <w:gridCol w:w="251"/>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and offering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 servicing fees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31,418 </w:t>
            </w:r>
          </w:p>
        </w:tc>
        <w:tc>
          <w:tcPr>
            <w:tcW w:w="1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Adviser has advanced $14.9 million and $14.3 million of operating expenses on the Company’s behalf as of June 30, 2026 and December 31, 2025, respectively. Pursuant to the advisory agreement among the Company, the Operating Partnership and the Adviser (the “Advisory Agreement”), the Company began to reimburse the Adviser for all advanced operating expenses ratably over the 60 months starting May 1, 2026. For the three and six months ended June 30, 2026, the Adviser was entitled to be reimbursed $0.5 million and $0.5 million,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Organization and offering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Advisory Agreement, the Adviser advanced amounts totaling $7.5 million of organization and offering costs (including legal, accounting, and other expenses attributable to the Company’s organization, but excluding upfront selling commissions, dealer manager fees and stockholder servicing fees) on behalf of the Company through July 22, 2024. Commencing on July 22, 2024, the Company began reimbursing the Adviser for all such advanced costs ratably over a 60-month period. During three and six months ended June 30, 2026, the Company reimbursed $0.4 million and $0.8 million, respectively, to the Adviser.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outstanding organization and offering expenses due to the Adviser were $4.6 million and $5.4 million as of June 30, 2026 and December 31, 2025,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Stockholder servicing fees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J.P. Morgan Institutional Investments Inc., a registered broker-dealer affiliated with the Adviser (the “Dealer Manager”), receives a stockholder servicing fee of 0.25%, 0.85%, 0.85% and 0.85% per annum of the aggregate NAV of the Company’s outstanding Class D shares, Class S shares, Class T shares and Class Y shares, respectively. The Company will cease paying the stockholder servicing fee with respect to any Class D share, Class S share, Class T share, and Class Y share sold in the primary offering (in the case of the Class D shares, Class S shares and Class T shares) and in the primary portion of the Class Y private offering (in the case of the Class Y shares) at the end of the month in which the total selling commissions, dealer manager fees and stockholder servicing fees paid with respect to the shares held by such stockholder would exceed 8.75% (or, in the case of Class T shares sold through certain participating broker-dealers, a lower limit as set forth in any applicable agreement between the Dealer Manager and a participating broker-dealer) of the gross proceeds from the sale of such shares (including the gross proceeds of any shares issued under the distribution reinvestment plan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thereto). At the end of such month, such Class D share, Class S share, Class T share or Class Y share (and any shares issued under the distribution reinvestment plan with respect thereto) will convert into a number of Class I shares (including any fractional shares) with an equivalent aggregate NAV of such share. The Company will accrue the cost of the lifetime stockholder servicing fee as an offering cost at the time each Class D, Class S and Class T share is sold during the primary offering, and, in the case of Class Y shares, at the time each Class Y share is sold during the private offering of Class Y shares. The Company’s obligations to pay stockholder servicing fees with respect to the Class D, Class S, Class T, and Class Y shares distributed in the Offerings will survive until such shares are no longer outstanding (including because such shares converted into Class I shares). As of June 30, 2026, the Company had accrued stockholder servicing fees of $8.5 million. Stockholder servicing fees are recorded as a component of due to affiliates on the Company’s Condensed Consolidated Balance Sheets.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There is no stockholder servicing fee with respect to Class E, Class I or Class X shares.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Management fee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and the Operating Partnership entered into the Advisory Agreement with the Adviser on May 31, 2022, which was last amended and restated on August 10, 2026. Pursuant to the Advisory Agreement, the Adviser is responsible for sourcing, evaluating and monitoring the Company’s investment opportunities and making decisions related to the acquisition, management, financing and disposition of the Company’s assets, in accordance with the Company’s investment objectives, guidelines, policies and limitations, subject to oversight by the Company’s board of directors.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Adviser and certain of its Affiliates receive fees and compensation in connection with the ongoing management of the assets of the Company. The Adviser is paid a management fee equal to 1.00% of NAV per annum for Class D, Class I, Class S and Class T shares and 0.75% of NAV per annum for Class X and Class Y shares, payable monthly. The management fee is paid, at the Adviser’s election, in cash, Class E shares, or Class E units. The Class E shares are not subject to the management fee.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incurred management fees of $0.9 million and $0.5 million, respectively. For the six months ended June 30, 2026 and 2025, the Company incurred management fees of $1.5 million and $0.8 million, respectively. Management fees are recorded as a component of general and administrative expenses on the Company's Condensed Consolidated Statements of Operations. As of June 30, 2026, the Company had accrued management fees of $3.1 million. Management fees are recorded as a component of due to affiliates on the Company’s Condensed Consolidated Balance Sheets.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Accrued performance participation allocation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as general partner, and the Special Limited Partner entered into the Limited Partnership Agreement of the Operating Partnership on June 3, 2022, which was most recently amended and restated on August 10, 2026.</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 Limited Partner holds a performance participation interest in the Operating Partnership that entitles it to receive an allocation from the Operating Partnership equal to (i) 12.5% of the annual Total Return, subject to a 5% annual Hurdle Amount and a High-Water Mark, with a Catch-Up (each term as defined in the Operating Partnership limited partnership agreement) with respect to Class D, I, S, and T units of the Operating Partnership and (ii) 10.0% of the annual Class X and Y Total Return, subject to a 7% Class X and Y Hurdle Amount and a Class X and Y High-Water Mark, with a 50% Class X and Y Catch-Up (each term as defined in the Operating Partnership’s limited partnership agreement) with respect to Class X units of the Operating Partnership and Class Y units of the Operating Partnership, respectively. Such allocation is measured on a calendar year basis, settled quarterly and accrued monthly. The performance participation interest is not paid on the Class E shares and Class E units. For the three months ended June 30, 2026, the Company did not incur any performance participation allocation. For the six months ended June 30, 2026, the Company incurred $0.3 million of performance participation allocation. For the three and six months ended June 30, 2025, the Company did not incur any performance participation allocation. The performance participation allocation is recorded as a component of general and administrative expenses on the Company's Condensed Consolidated Statements of Operations. As of June 30, 2026, the Company had accrued performance participation allocation of $0.3 million. The performance participation allocation is recorded as a component of due to affiliates on the Company’s Condensed Consolidated Balance Sheets.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may retain certain of the Adviser’s affiliates for necessary services relating to the Company’s investments or its operations, including any administrative services, construction, special servicing, leasing, development, property oversight and other property management services, as well as services related to mortgage servicing, group purchasing, healthcare, consulting/brokerage, capital markets/credit origination, loan servicing, property, title or other types of insurance, management consulting and other similar operational matters.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JPMIM Investment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a subscription agreement dated February 23, 2022, JPMIM agreed to purchase an aggregate of $100 million in Class E shares or Class E units, provided that, if the Company receives capital commitments from investors in the private placement of Class E shares exceeding $100 million (“Other Seed Investor Commitments”), JPMIM’s commitment may, in JPMIM’s discretion, be reduced by an amount equal to (i) the aggregate amount of Other Seed Investor Commitments, minus (ii) $100 million, provided that such reduction amount will not exceed $75 million.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May 26, 2022, JPMIM’s Subscription Agreement dated February 23, 2022 for Class E shares or Class E units was amended to provide that the expiration of the JPMIM commitment was August 23, 2023; provided, that following such date JPMIM may, in its discretion, elect to purchase additional Class E shares or Class E units until July 22, 2025.</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14, 2025, the Company entered into a Second Amendment to the Subscription Agreement (the “Amendment”) by and among the Company, the Operating Partnership and the Adviser to amend the repurchase terms for shares of the Company and units of the Operating Partnership purchased by the Adviser. Pursuant to the Amendment, following the end of each month after the earlier of (i) the first date that the Company’s net asset value reaches $1.5 billion and (ii) July 22, 2025, the Company and/or the Operating Partnership will automatically, and without any further action by the Company, the Adviser or any affiliate thereof, repurchase or redeem, as applicable, from the Adviser a number of securities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As of June 30, 2026, all Class E shares and Class E units issued in the JPM Initial Capitalization have been repurchased by the Company. See Note 13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10. Other Assets and Liabilities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assets ($ in thousands):</w:t>
      </w:r>
    </w:p>
    <w:tbl>
      <w:tblPr>
        <w:tblW w:w="6326" w:type="dxa"/>
        <w:jc w:val="left"/>
        <w:tblInd w:w="0" w:type="dxa"/>
        <w:tblLayout w:type="fixed"/>
        <w:tblCellMar>
          <w:top w:w="28" w:type="dxa"/>
          <w:left w:w="28" w:type="dxa"/>
          <w:bottom w:w="28" w:type="dxa"/>
          <w:right w:w="28" w:type="dxa"/>
        </w:tblCellMar>
      </w:tblPr>
      <w:tblGrid>
        <w:gridCol w:w="1069"/>
        <w:gridCol w:w="940"/>
        <w:gridCol w:w="946"/>
        <w:gridCol w:w="258"/>
        <w:gridCol w:w="883"/>
        <w:gridCol w:w="133"/>
        <w:gridCol w:w="109"/>
        <w:gridCol w:w="109"/>
        <w:gridCol w:w="109"/>
        <w:gridCol w:w="344"/>
        <w:gridCol w:w="1175"/>
        <w:gridCol w:w="251"/>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inducement asset</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sales-type leases,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receivable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22,310 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accounts payable, accrued expenses and other liabilities ($ in thousands):</w:t>
      </w:r>
    </w:p>
    <w:tbl>
      <w:tblPr>
        <w:tblW w:w="5530" w:type="dxa"/>
        <w:jc w:val="left"/>
        <w:tblInd w:w="0" w:type="dxa"/>
        <w:tblLayout w:type="fixed"/>
        <w:tblCellMar>
          <w:top w:w="28" w:type="dxa"/>
          <w:left w:w="28" w:type="dxa"/>
          <w:bottom w:w="28" w:type="dxa"/>
          <w:right w:w="28" w:type="dxa"/>
        </w:tblCellMar>
      </w:tblPr>
      <w:tblGrid>
        <w:gridCol w:w="782"/>
        <w:gridCol w:w="686"/>
        <w:gridCol w:w="691"/>
        <w:gridCol w:w="258"/>
        <w:gridCol w:w="883"/>
        <w:gridCol w:w="133"/>
        <w:gridCol w:w="109"/>
        <w:gridCol w:w="109"/>
        <w:gridCol w:w="109"/>
        <w:gridCol w:w="344"/>
        <w:gridCol w:w="1175"/>
        <w:gridCol w:w="25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4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security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income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Redemptions payable</w:t>
            </w:r>
            <w:r>
              <w:rPr>
                <w:rFonts w:ascii="Times New Roman;serif" w:hAnsi="Times New Roman;serif"/>
                <w:b w:val="false"/>
                <w:color w:val="000000"/>
                <w:sz w:val="13"/>
              </w:rPr>
              <w:t>(1)</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27,192 </w:t>
            </w:r>
          </w:p>
        </w:tc>
        <w:tc>
          <w:tcPr>
            <w:tcW w:w="1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26,856 </w:t>
            </w:r>
          </w:p>
        </w:tc>
        <w:tc>
          <w:tcPr>
            <w:tcW w:w="25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Includes $6.1 million relating to Mandatorily Redeemable Instruments held by the Adviser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Lessor</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rental revenue primarily consists of rent earned from operating leases at the Company’s multifamily, single-family rental, retail, office and net lease industrial properties. Leases at the Company’s retail, office and industrial properties include a fixed base rent, and a variable rent component that consists of the reimbursement of operating expenses such as real estate taxes, insurance, and common area maintenance costs. Rental revenue earned from leases at the Company’s multifamily and single-family properties primarily consist of a fixed base rent, and certain leases contain a variable component that allows for the pass-through of certain operating expenses such as utilities.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leases at the Company’s net lease retail, office and industrial properties are longer-term and contain extension and termination options at the lessee’s election. The leases do not have material variable payments, material residual value guarantees or material restrictive covenants. Leases at the Company’s multifamily and single-family rental properties are short-term in nature, generally not greater than 12 months in length.</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operating lease income ($ in thousands):</w:t>
      </w:r>
    </w:p>
    <w:tbl>
      <w:tblPr>
        <w:tblW w:w="7398" w:type="dxa"/>
        <w:jc w:val="left"/>
        <w:tblInd w:w="0" w:type="dxa"/>
        <w:tblLayout w:type="fixed"/>
        <w:tblCellMar>
          <w:top w:w="28" w:type="dxa"/>
          <w:left w:w="28" w:type="dxa"/>
          <w:bottom w:w="28" w:type="dxa"/>
          <w:right w:w="28" w:type="dxa"/>
        </w:tblCellMar>
      </w:tblPr>
      <w:tblGrid>
        <w:gridCol w:w="755"/>
        <w:gridCol w:w="664"/>
        <w:gridCol w:w="666"/>
        <w:gridCol w:w="222"/>
        <w:gridCol w:w="759"/>
        <w:gridCol w:w="114"/>
        <w:gridCol w:w="114"/>
        <w:gridCol w:w="114"/>
        <w:gridCol w:w="114"/>
        <w:gridCol w:w="222"/>
        <w:gridCol w:w="759"/>
        <w:gridCol w:w="114"/>
        <w:gridCol w:w="109"/>
        <w:gridCol w:w="109"/>
        <w:gridCol w:w="109"/>
        <w:gridCol w:w="211"/>
        <w:gridCol w:w="721"/>
        <w:gridCol w:w="109"/>
        <w:gridCol w:w="109"/>
        <w:gridCol w:w="109"/>
        <w:gridCol w:w="109"/>
        <w:gridCol w:w="211"/>
        <w:gridCol w:w="72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payments</w:t>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expected future minimum rents under operating leases from its retail, office and industrial properties as of June 30, 2026 ($ in thousands):</w:t>
      </w:r>
    </w:p>
    <w:tbl>
      <w:tblPr>
        <w:tblW w:w="3047" w:type="dxa"/>
        <w:jc w:val="left"/>
        <w:tblInd w:w="0" w:type="dxa"/>
        <w:tblLayout w:type="fixed"/>
        <w:tblCellMar>
          <w:top w:w="28" w:type="dxa"/>
          <w:left w:w="28" w:type="dxa"/>
          <w:bottom w:w="28" w:type="dxa"/>
          <w:right w:w="28" w:type="dxa"/>
        </w:tblCellMar>
      </w:tblPr>
      <w:tblGrid>
        <w:gridCol w:w="553"/>
        <w:gridCol w:w="485"/>
        <w:gridCol w:w="491"/>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5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330,755 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12. Equity and Redeemable Non-Controlling Interest</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Authorized capital</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preferred stock and seven classes of common stock consisting of Class D shares, Class I shares, Class S shares, Class T shares, Class E shares, Class X shares and Class Y shares. The differences among the common share classes relate to management fees, upfront selling commissions, dealer manager fees and ongoing stockholder servicing fees. See Note 2 for additional detail on each share class.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in accordance with the Charter, the Company had authority to issue 5.5 billion shares, consisting of the following (shares in thousands):</w:t>
      </w:r>
    </w:p>
    <w:tbl>
      <w:tblPr>
        <w:tblW w:w="4627" w:type="dxa"/>
        <w:jc w:val="left"/>
        <w:tblInd w:w="0" w:type="dxa"/>
        <w:tblLayout w:type="fixed"/>
        <w:tblCellMar>
          <w:top w:w="28" w:type="dxa"/>
          <w:left w:w="28" w:type="dxa"/>
          <w:bottom w:w="28" w:type="dxa"/>
          <w:right w:w="28" w:type="dxa"/>
        </w:tblCellMar>
      </w:tblPr>
      <w:tblGrid>
        <w:gridCol w:w="489"/>
        <w:gridCol w:w="429"/>
        <w:gridCol w:w="432"/>
        <w:gridCol w:w="109"/>
        <w:gridCol w:w="109"/>
        <w:gridCol w:w="109"/>
        <w:gridCol w:w="539"/>
        <w:gridCol w:w="539"/>
        <w:gridCol w:w="541"/>
        <w:gridCol w:w="109"/>
        <w:gridCol w:w="109"/>
        <w:gridCol w:w="109"/>
        <w:gridCol w:w="242"/>
        <w:gridCol w:w="586"/>
        <w:gridCol w:w="176"/>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r>
      <w:tr>
        <w:trPr/>
        <w:tc>
          <w:tcPr>
            <w:tcW w:w="13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5,500,000</w:t>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movement in the Company’s outstanding shares of common stock (in thousands). There were no outstanding Class S or Class X shares as of June 30, 2026:</w:t>
      </w:r>
    </w:p>
    <w:tbl>
      <w:tblPr>
        <w:tblW w:w="10205" w:type="dxa"/>
        <w:jc w:val="left"/>
        <w:tblInd w:w="0" w:type="dxa"/>
        <w:tblLayout w:type="fixed"/>
        <w:tblCellMar>
          <w:top w:w="28" w:type="dxa"/>
          <w:left w:w="28" w:type="dxa"/>
          <w:bottom w:w="28" w:type="dxa"/>
          <w:right w:w="28" w:type="dxa"/>
        </w:tblCellMar>
      </w:tblPr>
      <w:tblGrid>
        <w:gridCol w:w="564"/>
        <w:gridCol w:w="349"/>
        <w:gridCol w:w="351"/>
        <w:gridCol w:w="109"/>
        <w:gridCol w:w="109"/>
        <w:gridCol w:w="109"/>
        <w:gridCol w:w="308"/>
        <w:gridCol w:w="308"/>
        <w:gridCol w:w="190"/>
        <w:gridCol w:w="109"/>
        <w:gridCol w:w="109"/>
        <w:gridCol w:w="109"/>
        <w:gridCol w:w="360"/>
        <w:gridCol w:w="361"/>
        <w:gridCol w:w="189"/>
        <w:gridCol w:w="109"/>
        <w:gridCol w:w="109"/>
        <w:gridCol w:w="109"/>
        <w:gridCol w:w="222"/>
        <w:gridCol w:w="188"/>
        <w:gridCol w:w="189"/>
        <w:gridCol w:w="109"/>
        <w:gridCol w:w="109"/>
        <w:gridCol w:w="109"/>
        <w:gridCol w:w="222"/>
        <w:gridCol w:w="189"/>
        <w:gridCol w:w="190"/>
        <w:gridCol w:w="109"/>
        <w:gridCol w:w="109"/>
        <w:gridCol w:w="109"/>
        <w:gridCol w:w="360"/>
        <w:gridCol w:w="361"/>
        <w:gridCol w:w="190"/>
        <w:gridCol w:w="109"/>
        <w:gridCol w:w="109"/>
        <w:gridCol w:w="109"/>
        <w:gridCol w:w="222"/>
        <w:gridCol w:w="189"/>
        <w:gridCol w:w="190"/>
        <w:gridCol w:w="109"/>
        <w:gridCol w:w="109"/>
        <w:gridCol w:w="109"/>
        <w:gridCol w:w="360"/>
        <w:gridCol w:w="361"/>
        <w:gridCol w:w="190"/>
        <w:gridCol w:w="109"/>
        <w:gridCol w:w="109"/>
        <w:gridCol w:w="109"/>
        <w:gridCol w:w="360"/>
        <w:gridCol w:w="361"/>
        <w:gridCol w:w="265"/>
      </w:tblGrid>
      <w:tr>
        <w:trPr/>
        <w:tc>
          <w:tcPr>
            <w:tcW w:w="5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58,083 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83,484 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99,144 </w:t>
            </w:r>
          </w:p>
        </w:tc>
        <w:tc>
          <w:tcPr>
            <w:tcW w:w="2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4"/>
        <w:gridCol w:w="349"/>
        <w:gridCol w:w="351"/>
        <w:gridCol w:w="109"/>
        <w:gridCol w:w="109"/>
        <w:gridCol w:w="109"/>
        <w:gridCol w:w="308"/>
        <w:gridCol w:w="308"/>
        <w:gridCol w:w="190"/>
        <w:gridCol w:w="109"/>
        <w:gridCol w:w="109"/>
        <w:gridCol w:w="109"/>
        <w:gridCol w:w="360"/>
        <w:gridCol w:w="361"/>
        <w:gridCol w:w="189"/>
        <w:gridCol w:w="109"/>
        <w:gridCol w:w="109"/>
        <w:gridCol w:w="109"/>
        <w:gridCol w:w="222"/>
        <w:gridCol w:w="188"/>
        <w:gridCol w:w="189"/>
        <w:gridCol w:w="109"/>
        <w:gridCol w:w="109"/>
        <w:gridCol w:w="109"/>
        <w:gridCol w:w="222"/>
        <w:gridCol w:w="189"/>
        <w:gridCol w:w="190"/>
        <w:gridCol w:w="109"/>
        <w:gridCol w:w="109"/>
        <w:gridCol w:w="109"/>
        <w:gridCol w:w="360"/>
        <w:gridCol w:w="361"/>
        <w:gridCol w:w="190"/>
        <w:gridCol w:w="109"/>
        <w:gridCol w:w="109"/>
        <w:gridCol w:w="109"/>
        <w:gridCol w:w="222"/>
        <w:gridCol w:w="189"/>
        <w:gridCol w:w="190"/>
        <w:gridCol w:w="109"/>
        <w:gridCol w:w="109"/>
        <w:gridCol w:w="109"/>
        <w:gridCol w:w="360"/>
        <w:gridCol w:w="361"/>
        <w:gridCol w:w="190"/>
        <w:gridCol w:w="109"/>
        <w:gridCol w:w="109"/>
        <w:gridCol w:w="109"/>
        <w:gridCol w:w="360"/>
        <w:gridCol w:w="361"/>
        <w:gridCol w:w="265"/>
      </w:tblGrid>
      <w:tr>
        <w:trPr/>
        <w:tc>
          <w:tcPr>
            <w:tcW w:w="5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55,790 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79,327 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99,144 </w:t>
            </w:r>
          </w:p>
        </w:tc>
        <w:tc>
          <w:tcPr>
            <w:tcW w:w="2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movement in the Company’s outstanding shares of common stock (in thousands). There were no outstanding Class S, Class T or Class X shares as of June 30, 2025:</w:t>
      </w:r>
    </w:p>
    <w:tbl>
      <w:tblPr>
        <w:tblW w:w="10205" w:type="dxa"/>
        <w:jc w:val="left"/>
        <w:tblInd w:w="0" w:type="dxa"/>
        <w:tblLayout w:type="fixed"/>
        <w:tblCellMar>
          <w:top w:w="28" w:type="dxa"/>
          <w:left w:w="28" w:type="dxa"/>
          <w:bottom w:w="28" w:type="dxa"/>
          <w:right w:w="28" w:type="dxa"/>
        </w:tblCellMar>
      </w:tblPr>
      <w:tblGrid>
        <w:gridCol w:w="599"/>
        <w:gridCol w:w="465"/>
        <w:gridCol w:w="468"/>
        <w:gridCol w:w="308"/>
        <w:gridCol w:w="308"/>
        <w:gridCol w:w="206"/>
        <w:gridCol w:w="109"/>
        <w:gridCol w:w="109"/>
        <w:gridCol w:w="109"/>
        <w:gridCol w:w="360"/>
        <w:gridCol w:w="361"/>
        <w:gridCol w:w="199"/>
        <w:gridCol w:w="109"/>
        <w:gridCol w:w="109"/>
        <w:gridCol w:w="109"/>
        <w:gridCol w:w="225"/>
        <w:gridCol w:w="201"/>
        <w:gridCol w:w="203"/>
        <w:gridCol w:w="109"/>
        <w:gridCol w:w="109"/>
        <w:gridCol w:w="109"/>
        <w:gridCol w:w="228"/>
        <w:gridCol w:w="205"/>
        <w:gridCol w:w="206"/>
        <w:gridCol w:w="109"/>
        <w:gridCol w:w="109"/>
        <w:gridCol w:w="109"/>
        <w:gridCol w:w="360"/>
        <w:gridCol w:w="361"/>
        <w:gridCol w:w="206"/>
        <w:gridCol w:w="109"/>
        <w:gridCol w:w="109"/>
        <w:gridCol w:w="109"/>
        <w:gridCol w:w="228"/>
        <w:gridCol w:w="205"/>
        <w:gridCol w:w="206"/>
        <w:gridCol w:w="109"/>
        <w:gridCol w:w="109"/>
        <w:gridCol w:w="109"/>
        <w:gridCol w:w="308"/>
        <w:gridCol w:w="308"/>
        <w:gridCol w:w="206"/>
        <w:gridCol w:w="109"/>
        <w:gridCol w:w="109"/>
        <w:gridCol w:w="109"/>
        <w:gridCol w:w="360"/>
        <w:gridCol w:w="361"/>
        <w:gridCol w:w="265"/>
      </w:tblGrid>
      <w:tr>
        <w:trPr/>
        <w:tc>
          <w:tcPr>
            <w:tcW w:w="5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9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42,734 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59,036 </w:t>
            </w:r>
          </w:p>
        </w:tc>
        <w:tc>
          <w:tcPr>
            <w:tcW w:w="26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issued</w:t>
            </w:r>
            <w:r>
              <w:rPr>
                <w:rFonts w:ascii="Times New Roman;serif" w:hAnsi="Times New Roman;serif"/>
                <w:b w:val="false"/>
                <w:color w:val="000000"/>
                <w:sz w:val="13"/>
              </w:rPr>
              <w:t>(1)</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1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9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49,772 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69,164 </w:t>
            </w:r>
          </w:p>
        </w:tc>
        <w:tc>
          <w:tcPr>
            <w:tcW w:w="2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
        <w:gridCol w:w="465"/>
        <w:gridCol w:w="468"/>
        <w:gridCol w:w="322"/>
        <w:gridCol w:w="294"/>
        <w:gridCol w:w="206"/>
        <w:gridCol w:w="109"/>
        <w:gridCol w:w="109"/>
        <w:gridCol w:w="109"/>
        <w:gridCol w:w="360"/>
        <w:gridCol w:w="361"/>
        <w:gridCol w:w="199"/>
        <w:gridCol w:w="109"/>
        <w:gridCol w:w="109"/>
        <w:gridCol w:w="109"/>
        <w:gridCol w:w="225"/>
        <w:gridCol w:w="201"/>
        <w:gridCol w:w="203"/>
        <w:gridCol w:w="109"/>
        <w:gridCol w:w="109"/>
        <w:gridCol w:w="109"/>
        <w:gridCol w:w="228"/>
        <w:gridCol w:w="205"/>
        <w:gridCol w:w="206"/>
        <w:gridCol w:w="109"/>
        <w:gridCol w:w="109"/>
        <w:gridCol w:w="109"/>
        <w:gridCol w:w="360"/>
        <w:gridCol w:w="361"/>
        <w:gridCol w:w="206"/>
        <w:gridCol w:w="109"/>
        <w:gridCol w:w="109"/>
        <w:gridCol w:w="109"/>
        <w:gridCol w:w="228"/>
        <w:gridCol w:w="205"/>
        <w:gridCol w:w="206"/>
        <w:gridCol w:w="109"/>
        <w:gridCol w:w="109"/>
        <w:gridCol w:w="109"/>
        <w:gridCol w:w="308"/>
        <w:gridCol w:w="308"/>
        <w:gridCol w:w="206"/>
        <w:gridCol w:w="109"/>
        <w:gridCol w:w="109"/>
        <w:gridCol w:w="109"/>
        <w:gridCol w:w="360"/>
        <w:gridCol w:w="361"/>
        <w:gridCol w:w="265"/>
      </w:tblGrid>
      <w:tr>
        <w:trPr/>
        <w:tc>
          <w:tcPr>
            <w:tcW w:w="5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19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31,892 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issued</w:t>
            </w:r>
            <w:r>
              <w:rPr>
                <w:rFonts w:ascii="Times New Roman;serif" w:hAnsi="Times New Roman;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1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9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49,772 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69,164 </w:t>
            </w:r>
          </w:p>
        </w:tc>
        <w:tc>
          <w:tcPr>
            <w:tcW w:w="26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Common stock issued includes conversions between share classes.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was no outstanding preferred stock as of June 30, 2026 and December 31, 2025, respectively.</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repurchased shares of its common stock for $2.1 million and $8.0 million during the three and six months ended June 30, 2026, respectively. The Company had no unfulfilled repurchase requests during the three and six months ended June 30, 2026, respectively. See Note 13 for further details on repurchases of Mandatorily Redeemable Instruments.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 reinvestment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adopted a distribution reinvestment plan whereby holders of shares of common stock will have the cash distributions attributable to the shares they own reinvested in additional shares; provided, however, that clients of certain participating broker-dealers that do not permit automatic enrollment in the distribution reinvestment plan and stockholders that are residents of certain states that do not permit automatic enrollment in the distribution reinvestment plan will automatically receive their distributions in cash unless they elect to participate in the distribution reinvestment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purchase price for shares of the Company's common stock purchased pursuant to the distribution reinvestment plan will be equal to the transaction price for the applicable class of shares at the time the distribution is payable (which will generally be equal to the Company’s prior month’s NAV per share). Stockholders will not pay upfront selling commissions or dealer manager fees when purchasing shares of common stock pursuant to the distribution reinvestment plan. The stockholder servicing fees with respect to Class D shares, Class S shares, Class T shares and Class Y shares are calculated based on the Company’s NAV for those shares and may reduce the NAV and the distributions payable with respect to shares of each such class, including shares issued in respect of distributions on such shares under the distribution reinvestment plan. Shares acquired under the distribution reinvestment plan will entitle the participant to the same rights and be treated in the same manner as shares purchased in the Offerings.</w:t>
      </w:r>
    </w:p>
    <w:p>
      <w:pPr>
        <w:pStyle w:val="TextBody"/>
        <w:bidi w:val="0"/>
        <w:spacing w:before="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generally intends to distribute substantially all of its taxable income, which does not necessarily equal net income as calculated in accordance with GAAP, to its stockholders each year to comply with the REIT provisions of the Internal Revenue Code of 1986, as amended (the “Code”). Shares of each class of common stock receive the same gross distribution per share. The net distribution varies for shares of each class based on the applicable stockholder servicing fee, which is deducted from the monthly distribution per share and paid directly to the applicable distributor.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distributions declared for shares of each applicable class of common stock:</w:t>
      </w:r>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(0.0240)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0.1029 </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0.2058 </w:t>
            </w:r>
          </w:p>
        </w:tc>
        <w:tc>
          <w:tcPr>
            <w:tcW w:w="15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 The Company accrued stockholder servicing fees of $8.5 million and $6.3 million as of June 30, 2026 and December 31, 2025,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Redeemable Non-Controlling Interest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 Limited Partner holds a performance participation interest in the Operating Partnership that entitles it to receive an allocation from the Operating Partnership in Class E units. See Note 9 for further details of the Special Limited Partner’s performance participation interest. Because the Special Limited Partner has the ability to redeem its Class E units for cash, at its election, the Company has classified these Class E units as redeemable non-controlling interest in mezzanine equity on the Company’s Condensed Consolidated Balance Sheets. The redeemable non-controlling interest is recorded at the greater of the carrying amount, adjusted for its share of the allocation of income or loss and distributions, or the redemption value, which is equivalent to fair value, of such units at the end of each measurement period which was $1.0 million and $0.9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13. Mandatorily Redeemable Instruments</w:t>
      </w:r>
    </w:p>
    <w:p>
      <w:pPr>
        <w:pStyle w:val="TextBody"/>
        <w:bidi w:val="0"/>
        <w:spacing w:lineRule="auto" w:line="276" w:before="120" w:after="120"/>
        <w:jc w:val="left"/>
        <w:rPr/>
      </w:pPr>
      <w:r>
        <w:rPr>
          <w:rFonts w:ascii="Times New Roman;serif" w:hAnsi="Times New Roman;serif"/>
          <w:b w:val="false"/>
          <w:color w:val="000000"/>
          <w:sz w:val="20"/>
        </w:rPr>
        <w:t xml:space="preserve">The Class E units held by JPMIM and purchased pursuant to the Initial Capitalization are mandatorily redeemable, and only subject to delays to the continuous obligation to ultimately redeem the instruments once sufficient availability exists under share repurchase agreements. Therefore, the Mandatorily Redeemable Instruments held by JPMIM are classified as a liability pursuant to Topic 480 —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and are presented as Mandatorily Redeemable Instruments at the initial funding amount received, which is equivalent to fair value at the issuance dates. Subsequently, the Mandatorily Redeemable Instruments are carried at their cash redemption value as if the Class E units were repurchased or redeemable at the reporting date, which equals NAV per Class E unit. The change in carrying value (changes in NAV per Class E unit) is classified as Mandatorily Redeemable Instruments interest costs along with any cash distributions declared in the Condensed Consolidated Statements of Operations. During the six months ended June 30, 2026, the Company recorded $0.6 million of Mandatorily Redeemable Instruments interest costs in the Condensed Consolidated Statements of Operations, which consisted of redemption value adjustments of $0.2 million and distribution expenses of $0.4 million, respectively. During the six months ended June 30, 2025, the Company recorded $2.7 million of Mandatorily Redeemable Instruments interest costs in the Condensed Consolidated Statements of Operations, which consisted of a redemption value adjustment of $0.6 million and distribution expenses of $2.1 million,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an investor in Class E units, JPMIM's interest does not have any voting rights but is entitled to receive distributions at the same rate applicable to other classes of units.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Partnership units also carry a protective exchange feature whereby in a liquidation, dilution or winding up, each unit will convert into a number of Class I units (or fraction thereof) having an equivalent NAV. Such feature is designed to carry over NAV into a new form of security immediately prior to liquidation and is not deemed a substantive conversion feature as it is only applicable upon liquidation or upon a listing event which is not the intent of this public, non-listed REIT structure.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sold 9.0 million Class E units and 0.5 million Class E shares to the Adviser for an aggregate purchase price of $94.2 million and $5.8 million, respectively. During the six months ended June 30, 2026, the Company did not sell any Class E units or Class E shares to the Adviser that are subject to mandatory repurchase requirements (see Note 2). During the six months ended June 30, 2026, the Company repurchased 4.8 million Class E units amounting to $55.0 million. As of June 30, 2026, there are no outstanding Class E shares or Class E units held by the Adviser that are subject to mandatory repurchase requirements.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Mandatorily Redeemable Instruments activity for the six months ended June 30, 2026 ($ in thousands):</w:t>
      </w:r>
    </w:p>
    <w:tbl>
      <w:tblPr>
        <w:tblW w:w="4910" w:type="dxa"/>
        <w:jc w:val="left"/>
        <w:tblInd w:w="0" w:type="dxa"/>
        <w:tblLayout w:type="fixed"/>
        <w:tblCellMar>
          <w:top w:w="28" w:type="dxa"/>
          <w:left w:w="28" w:type="dxa"/>
          <w:bottom w:w="28" w:type="dxa"/>
          <w:right w:w="28" w:type="dxa"/>
        </w:tblCellMar>
      </w:tblPr>
      <w:tblGrid>
        <w:gridCol w:w="1385"/>
        <w:gridCol w:w="1218"/>
        <w:gridCol w:w="1221"/>
        <w:gridCol w:w="211"/>
        <w:gridCol w:w="72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distributions payable/paid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Redemption features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JPMIM agreed to hold all the Class E shares and Class E units it purchased pursuant to the JPM Initial Capitalization until July 22, 2025. Following such date, each month the Company has been repurchasing, without further action by JPMIM, a number of Class E shares or Class E units from JPMIM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until such time as the JPM Initial Capitalization has been fully repurchased; provided, that the number of shares subject to each JPM Mandatory Repurchase may be reduced where other holders of Class E shares that were issued pursuant to the Initial Capitalization and are not subject to repurchase under the share repurchase plan request repurchase of their shares, in which case the Class E shares and Class E units held by JPMIM and such other investors will be repurchased on a pro rata basis based on their respective percentage ownership in the Company immediately prior to such repurchase (not to exceed an aggregate number of shares equal to the amount available under the share repurchase plan’s 2% monthly and 5% quarterly caps). Notwithstanding the foregoing, the Company will not effect any JPM Mandatory Repurchase during any month in which the full amount of all shares requested to be repurchased by stockholders other than JPMIM under the share repurchase plan is not repurchased or when the share repurchase plan has been suspended.</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subject to certain exceptions, where the shares of the Company’s common stock and Operating Partnership units owned by the Adviser, together with any such shares and units owned by the Adviser and its affiliates, including any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shares or units issued in lieu of cash management fees payable to the Adviser or the performance participation payable to the Special Limited Partner (such aggregate ownership, the “JPM Interest”), represent a 24.99% or lesser interest in the Company, the Company will, or will cause the Operating Partnership to, automatically and without further action by the Adviser, repurchase or redeem, as applicable, an amount of shares or units from the Adviser as may be necessary to cause the JPM Interest to remain equal to or less than 24.99% (each such repurchase or redemption, a “JPM Regulatory Repurchase”). To the extent the Adviser elects to receive its management fee in shares of the Company’s common stock or Operating Partnership units, the Company may repurchase those shares or units without regard to the limitations described above or the early repurchase deduction.</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The Company generally intends to distribute substantially all of its taxable income, which does not necessarily equal net income as calculated in accordance with GAAP, to its stockholders each year to comply with the REIT provisions of the Code. The Mandatorily Redeemable Instruments receive the same gross distribution per share as the Class E common stock. For the six months ended June 30, 2026 and 2025, distributions declared on the Mandatorily Redeemable Instruments totaled $0.4 million and $2.1 million, respectively. When a distribution is declared, the Company records a distribution expense as a component of Mandatorily Redeemable Instruments interest cost in the Condensed Consolidated Statements of Operations. A distribution payable is also recorded within accounts payable, accrued expenses and other liabilities on the Company's Condensed Consolidated Balance Sheets until the distribution is paid. There was no distribution payable for Mandatorily Redeemable Instruments as of June 30, 2026. The distribution payable for Mandatorily Redeemable Instruments was $0.2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income (loss) and weighted-average number of shares outstanding for the three and six months ended June 30, 2026 and 2025 consist of the following ($ and shares in thousands):</w:t>
      </w:r>
    </w:p>
    <w:tbl>
      <w:tblPr>
        <w:tblW w:w="10205" w:type="dxa"/>
        <w:jc w:val="left"/>
        <w:tblInd w:w="0" w:type="dxa"/>
        <w:tblLayout w:type="fixed"/>
        <w:tblCellMar>
          <w:top w:w="28" w:type="dxa"/>
          <w:left w:w="28" w:type="dxa"/>
          <w:bottom w:w="28" w:type="dxa"/>
          <w:right w:w="28" w:type="dxa"/>
        </w:tblCellMar>
      </w:tblPr>
      <w:tblGrid>
        <w:gridCol w:w="1845"/>
        <w:gridCol w:w="1594"/>
        <w:gridCol w:w="1599"/>
        <w:gridCol w:w="270"/>
        <w:gridCol w:w="790"/>
        <w:gridCol w:w="139"/>
        <w:gridCol w:w="139"/>
        <w:gridCol w:w="139"/>
        <w:gridCol w:w="139"/>
        <w:gridCol w:w="275"/>
        <w:gridCol w:w="468"/>
        <w:gridCol w:w="139"/>
        <w:gridCol w:w="109"/>
        <w:gridCol w:w="109"/>
        <w:gridCol w:w="109"/>
        <w:gridCol w:w="212"/>
        <w:gridCol w:w="692"/>
        <w:gridCol w:w="109"/>
        <w:gridCol w:w="109"/>
        <w:gridCol w:w="109"/>
        <w:gridCol w:w="109"/>
        <w:gridCol w:w="212"/>
        <w:gridCol w:w="620"/>
        <w:gridCol w:w="170"/>
      </w:tblGrid>
      <w:tr>
        <w:trPr/>
        <w:tc>
          <w:tcPr>
            <w:tcW w:w="184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3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7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3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106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net (loss) income per share amounts for the three and six months ended June 30, 2026 and 2025 consists of the following ($ and shares in thousands except per-share numbers):</w:t>
      </w:r>
    </w:p>
    <w:tbl>
      <w:tblPr>
        <w:tblW w:w="10205" w:type="dxa"/>
        <w:jc w:val="left"/>
        <w:tblInd w:w="0" w:type="dxa"/>
        <w:tblLayout w:type="fixed"/>
        <w:tblCellMar>
          <w:top w:w="28" w:type="dxa"/>
          <w:left w:w="28" w:type="dxa"/>
          <w:bottom w:w="28" w:type="dxa"/>
          <w:right w:w="28" w:type="dxa"/>
        </w:tblCellMar>
      </w:tblPr>
      <w:tblGrid>
        <w:gridCol w:w="1934"/>
        <w:gridCol w:w="1605"/>
        <w:gridCol w:w="1613"/>
        <w:gridCol w:w="252"/>
        <w:gridCol w:w="737"/>
        <w:gridCol w:w="129"/>
        <w:gridCol w:w="129"/>
        <w:gridCol w:w="129"/>
        <w:gridCol w:w="129"/>
        <w:gridCol w:w="269"/>
        <w:gridCol w:w="498"/>
        <w:gridCol w:w="129"/>
        <w:gridCol w:w="109"/>
        <w:gridCol w:w="109"/>
        <w:gridCol w:w="109"/>
        <w:gridCol w:w="212"/>
        <w:gridCol w:w="678"/>
        <w:gridCol w:w="109"/>
        <w:gridCol w:w="109"/>
        <w:gridCol w:w="109"/>
        <w:gridCol w:w="109"/>
        <w:gridCol w:w="212"/>
        <w:gridCol w:w="619"/>
        <w:gridCol w:w="168"/>
      </w:tblGrid>
      <w:tr>
        <w:trPr/>
        <w:tc>
          <w:tcPr>
            <w:tcW w:w="19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JPMREIT Stockholders</w:t>
            </w:r>
          </w:p>
        </w:tc>
        <w:tc>
          <w:tcPr>
            <w:tcW w:w="11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common stock</w:t>
            </w:r>
          </w:p>
        </w:tc>
        <w:tc>
          <w:tcPr>
            <w:tcW w:w="25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JPMREIT Stockholders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common stock</w:t>
            </w:r>
          </w:p>
        </w:tc>
        <w:tc>
          <w:tcPr>
            <w:tcW w:w="2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unvested Class E shares awarded to the Company's independent directors as compensation for their service are excluded from the calculation of diluted earnings per share as the inclusion of such potential common shares in the calculations would be anti-dilutive for the period. There were no other potentially dilutive, unvested common shares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as the chief operating decision maker (the “CODM”), allocates resources and evaluates results based on the performance of each of the Company's six reportable segments: multifamily, industrial, single-family rental, retail, office and investments in real estate debt, real estate-related and other securities. The Company and the CODM believe that segment net operating income is the key performance metric that captures the unique operating characteristics of each segment. The significant expense categories and amounts presented below align with the segment-level information that is regularly provided to the CODM.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total assets by segment ($ in thousands):</w:t>
      </w:r>
    </w:p>
    <w:tbl>
      <w:tblPr>
        <w:tblW w:w="9091" w:type="dxa"/>
        <w:jc w:val="left"/>
        <w:tblInd w:w="0" w:type="dxa"/>
        <w:tblLayout w:type="fixed"/>
        <w:tblCellMar>
          <w:top w:w="28" w:type="dxa"/>
          <w:left w:w="28" w:type="dxa"/>
          <w:bottom w:w="28" w:type="dxa"/>
          <w:right w:w="28" w:type="dxa"/>
        </w:tblCellMar>
      </w:tblPr>
      <w:tblGrid>
        <w:gridCol w:w="2060"/>
        <w:gridCol w:w="1815"/>
        <w:gridCol w:w="1824"/>
        <w:gridCol w:w="211"/>
        <w:gridCol w:w="976"/>
        <w:gridCol w:w="109"/>
        <w:gridCol w:w="109"/>
        <w:gridCol w:w="109"/>
        <w:gridCol w:w="109"/>
        <w:gridCol w:w="278"/>
        <w:gridCol w:w="1288"/>
        <w:gridCol w:w="203"/>
      </w:tblGrid>
      <w:tr>
        <w:trPr/>
        <w:tc>
          <w:tcPr>
            <w:tcW w:w="206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649,339 </w:t>
            </w:r>
          </w:p>
        </w:tc>
        <w:tc>
          <w:tcPr>
            <w:tcW w:w="20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rental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43,671 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 real estate-related and other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1,689,760 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1,503,518 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three months ended June 30, 2026 ($ in thousands):</w:t>
      </w:r>
    </w:p>
    <w:tbl>
      <w:tblPr>
        <w:tblW w:w="10780" w:type="dxa"/>
        <w:jc w:val="left"/>
        <w:tblInd w:w="0" w:type="dxa"/>
        <w:tblLayout w:type="fixed"/>
        <w:tblCellMar>
          <w:top w:w="28" w:type="dxa"/>
          <w:left w:w="28" w:type="dxa"/>
          <w:bottom w:w="28" w:type="dxa"/>
          <w:right w:w="28" w:type="dxa"/>
        </w:tblCellMar>
      </w:tblPr>
      <w:tblGrid>
        <w:gridCol w:w="827"/>
        <w:gridCol w:w="291"/>
        <w:gridCol w:w="293"/>
        <w:gridCol w:w="228"/>
        <w:gridCol w:w="779"/>
        <w:gridCol w:w="119"/>
        <w:gridCol w:w="109"/>
        <w:gridCol w:w="109"/>
        <w:gridCol w:w="109"/>
        <w:gridCol w:w="211"/>
        <w:gridCol w:w="631"/>
        <w:gridCol w:w="109"/>
        <w:gridCol w:w="109"/>
        <w:gridCol w:w="109"/>
        <w:gridCol w:w="109"/>
        <w:gridCol w:w="328"/>
        <w:gridCol w:w="748"/>
        <w:gridCol w:w="170"/>
        <w:gridCol w:w="109"/>
        <w:gridCol w:w="109"/>
        <w:gridCol w:w="109"/>
        <w:gridCol w:w="211"/>
        <w:gridCol w:w="631"/>
        <w:gridCol w:w="109"/>
        <w:gridCol w:w="109"/>
        <w:gridCol w:w="109"/>
        <w:gridCol w:w="109"/>
        <w:gridCol w:w="211"/>
        <w:gridCol w:w="466"/>
        <w:gridCol w:w="109"/>
        <w:gridCol w:w="109"/>
        <w:gridCol w:w="109"/>
        <w:gridCol w:w="109"/>
        <w:gridCol w:w="280"/>
        <w:gridCol w:w="820"/>
        <w:gridCol w:w="146"/>
        <w:gridCol w:w="109"/>
        <w:gridCol w:w="109"/>
        <w:gridCol w:w="109"/>
        <w:gridCol w:w="211"/>
        <w:gridCol w:w="73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three months ended June 30, 2025 ($ in thousands):</w:t>
      </w:r>
    </w:p>
    <w:tbl>
      <w:tblPr>
        <w:tblW w:w="10205" w:type="dxa"/>
        <w:jc w:val="left"/>
        <w:tblInd w:w="0" w:type="dxa"/>
        <w:tblLayout w:type="fixed"/>
        <w:tblCellMar>
          <w:top w:w="28" w:type="dxa"/>
          <w:left w:w="28" w:type="dxa"/>
          <w:bottom w:w="28" w:type="dxa"/>
          <w:right w:w="28" w:type="dxa"/>
        </w:tblCellMar>
      </w:tblPr>
      <w:tblGrid>
        <w:gridCol w:w="911"/>
        <w:gridCol w:w="388"/>
        <w:gridCol w:w="391"/>
        <w:gridCol w:w="249"/>
        <w:gridCol w:w="747"/>
        <w:gridCol w:w="130"/>
        <w:gridCol w:w="109"/>
        <w:gridCol w:w="109"/>
        <w:gridCol w:w="109"/>
        <w:gridCol w:w="211"/>
        <w:gridCol w:w="627"/>
        <w:gridCol w:w="109"/>
        <w:gridCol w:w="109"/>
        <w:gridCol w:w="109"/>
        <w:gridCol w:w="109"/>
        <w:gridCol w:w="336"/>
        <w:gridCol w:w="766"/>
        <w:gridCol w:w="174"/>
        <w:gridCol w:w="109"/>
        <w:gridCol w:w="109"/>
        <w:gridCol w:w="109"/>
        <w:gridCol w:w="211"/>
        <w:gridCol w:w="617"/>
        <w:gridCol w:w="109"/>
        <w:gridCol w:w="109"/>
        <w:gridCol w:w="109"/>
        <w:gridCol w:w="109"/>
        <w:gridCol w:w="338"/>
        <w:gridCol w:w="990"/>
        <w:gridCol w:w="176"/>
        <w:gridCol w:w="109"/>
        <w:gridCol w:w="109"/>
        <w:gridCol w:w="109"/>
        <w:gridCol w:w="211"/>
        <w:gridCol w:w="721"/>
        <w:gridCol w:w="158"/>
      </w:tblGrid>
      <w:tr>
        <w:trPr/>
        <w:tc>
          <w:tcPr>
            <w:tcW w:w="9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9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9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7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six months ended June 30, 2026 ($ in thousands):</w:t>
      </w:r>
    </w:p>
    <w:tbl>
      <w:tblPr>
        <w:tblW w:w="10885" w:type="dxa"/>
        <w:jc w:val="left"/>
        <w:tblInd w:w="0" w:type="dxa"/>
        <w:tblLayout w:type="fixed"/>
        <w:tblCellMar>
          <w:top w:w="28" w:type="dxa"/>
          <w:left w:w="28" w:type="dxa"/>
          <w:bottom w:w="28" w:type="dxa"/>
          <w:right w:w="28" w:type="dxa"/>
        </w:tblCellMar>
      </w:tblPr>
      <w:tblGrid>
        <w:gridCol w:w="827"/>
        <w:gridCol w:w="291"/>
        <w:gridCol w:w="293"/>
        <w:gridCol w:w="224"/>
        <w:gridCol w:w="784"/>
        <w:gridCol w:w="118"/>
        <w:gridCol w:w="109"/>
        <w:gridCol w:w="109"/>
        <w:gridCol w:w="109"/>
        <w:gridCol w:w="211"/>
        <w:gridCol w:w="736"/>
        <w:gridCol w:w="109"/>
        <w:gridCol w:w="109"/>
        <w:gridCol w:w="109"/>
        <w:gridCol w:w="109"/>
        <w:gridCol w:w="280"/>
        <w:gridCol w:w="820"/>
        <w:gridCol w:w="146"/>
        <w:gridCol w:w="109"/>
        <w:gridCol w:w="109"/>
        <w:gridCol w:w="109"/>
        <w:gridCol w:w="211"/>
        <w:gridCol w:w="631"/>
        <w:gridCol w:w="109"/>
        <w:gridCol w:w="109"/>
        <w:gridCol w:w="109"/>
        <w:gridCol w:w="109"/>
        <w:gridCol w:w="211"/>
        <w:gridCol w:w="466"/>
        <w:gridCol w:w="109"/>
        <w:gridCol w:w="109"/>
        <w:gridCol w:w="109"/>
        <w:gridCol w:w="109"/>
        <w:gridCol w:w="252"/>
        <w:gridCol w:w="862"/>
        <w:gridCol w:w="132"/>
        <w:gridCol w:w="109"/>
        <w:gridCol w:w="109"/>
        <w:gridCol w:w="109"/>
        <w:gridCol w:w="211"/>
        <w:gridCol w:w="73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six months ended June 30, 2025 ($ in thousands):</w:t>
      </w:r>
    </w:p>
    <w:tbl>
      <w:tblPr>
        <w:tblW w:w="10205" w:type="dxa"/>
        <w:jc w:val="left"/>
        <w:tblInd w:w="0" w:type="dxa"/>
        <w:tblLayout w:type="fixed"/>
        <w:tblCellMar>
          <w:top w:w="28" w:type="dxa"/>
          <w:left w:w="28" w:type="dxa"/>
          <w:bottom w:w="28" w:type="dxa"/>
          <w:right w:w="28" w:type="dxa"/>
        </w:tblCellMar>
      </w:tblPr>
      <w:tblGrid>
        <w:gridCol w:w="908"/>
        <w:gridCol w:w="385"/>
        <w:gridCol w:w="388"/>
        <w:gridCol w:w="228"/>
        <w:gridCol w:w="779"/>
        <w:gridCol w:w="119"/>
        <w:gridCol w:w="109"/>
        <w:gridCol w:w="109"/>
        <w:gridCol w:w="109"/>
        <w:gridCol w:w="211"/>
        <w:gridCol w:w="627"/>
        <w:gridCol w:w="109"/>
        <w:gridCol w:w="109"/>
        <w:gridCol w:w="109"/>
        <w:gridCol w:w="109"/>
        <w:gridCol w:w="301"/>
        <w:gridCol w:w="816"/>
        <w:gridCol w:w="156"/>
        <w:gridCol w:w="109"/>
        <w:gridCol w:w="109"/>
        <w:gridCol w:w="109"/>
        <w:gridCol w:w="211"/>
        <w:gridCol w:w="617"/>
        <w:gridCol w:w="109"/>
        <w:gridCol w:w="109"/>
        <w:gridCol w:w="109"/>
        <w:gridCol w:w="109"/>
        <w:gridCol w:w="336"/>
        <w:gridCol w:w="985"/>
        <w:gridCol w:w="175"/>
        <w:gridCol w:w="109"/>
        <w:gridCol w:w="109"/>
        <w:gridCol w:w="109"/>
        <w:gridCol w:w="211"/>
        <w:gridCol w:w="739"/>
        <w:gridCol w:w="160"/>
      </w:tblGrid>
      <w:tr>
        <w:trPr/>
        <w:tc>
          <w:tcPr>
            <w:tcW w:w="90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19,732 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16. Derivatives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to minimize the risks and costs associated with the Company's investments and financing transactions. The Company has not designated any of its derivative financial instruments as hedges as defined under GAAP.</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 are not speculative and are used to manage the Company's exposure to interest rate movements and other identified risks.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use of derivative financial instruments involves certain risks, including the risk that counterparties do not perform as agreed. To mitigate this risk, the Company enters into derivative financial instruments with counterparties it believes to have appropriate credit ratings and that are major financial institutions with which the Company and its affiliates may also have other financial relationships.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contracts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Company's transactions expose the Company to interest rate risk on loans secured by the Company's real estate. The Company uses derivative financial instruments which includes interest rate swaps to limit the Company's exposure to interest rate fluctuations.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outstanding interest rate swaps that were non-designated hedges of interest rate risk (notional amount in thousands):</w:t>
      </w:r>
    </w:p>
    <w:tbl>
      <w:tblPr>
        <w:tblW w:w="12997" w:type="dxa"/>
        <w:jc w:val="left"/>
        <w:tblInd w:w="0" w:type="dxa"/>
        <w:tblLayout w:type="fixed"/>
        <w:tblCellMar>
          <w:top w:w="28" w:type="dxa"/>
          <w:left w:w="28" w:type="dxa"/>
          <w:bottom w:w="28" w:type="dxa"/>
          <w:right w:w="28" w:type="dxa"/>
        </w:tblCellMar>
      </w:tblPr>
      <w:tblGrid>
        <w:gridCol w:w="547"/>
        <w:gridCol w:w="244"/>
        <w:gridCol w:w="245"/>
        <w:gridCol w:w="109"/>
        <w:gridCol w:w="109"/>
        <w:gridCol w:w="109"/>
        <w:gridCol w:w="370"/>
        <w:gridCol w:w="370"/>
        <w:gridCol w:w="371"/>
        <w:gridCol w:w="109"/>
        <w:gridCol w:w="109"/>
        <w:gridCol w:w="109"/>
        <w:gridCol w:w="211"/>
        <w:gridCol w:w="826"/>
        <w:gridCol w:w="109"/>
        <w:gridCol w:w="109"/>
        <w:gridCol w:w="109"/>
        <w:gridCol w:w="109"/>
        <w:gridCol w:w="565"/>
        <w:gridCol w:w="565"/>
        <w:gridCol w:w="566"/>
        <w:gridCol w:w="109"/>
        <w:gridCol w:w="109"/>
        <w:gridCol w:w="109"/>
        <w:gridCol w:w="195"/>
        <w:gridCol w:w="195"/>
        <w:gridCol w:w="196"/>
        <w:gridCol w:w="109"/>
        <w:gridCol w:w="109"/>
        <w:gridCol w:w="109"/>
        <w:gridCol w:w="565"/>
        <w:gridCol w:w="565"/>
        <w:gridCol w:w="566"/>
        <w:gridCol w:w="109"/>
        <w:gridCol w:w="109"/>
        <w:gridCol w:w="109"/>
        <w:gridCol w:w="565"/>
        <w:gridCol w:w="565"/>
        <w:gridCol w:w="566"/>
        <w:gridCol w:w="109"/>
        <w:gridCol w:w="109"/>
        <w:gridCol w:w="109"/>
        <w:gridCol w:w="510"/>
        <w:gridCol w:w="510"/>
        <w:gridCol w:w="72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Strike Rate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Commencement Date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r>
      <w:tr>
        <w:trPr/>
        <w:tc>
          <w:tcPr>
            <w:tcW w:w="103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mortgage notes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19, 2028</w:t>
            </w:r>
          </w:p>
        </w:tc>
      </w:tr>
    </w:tbl>
    <w:tbl>
      <w:tblPr>
        <w:tblW w:w="12997" w:type="dxa"/>
        <w:jc w:val="left"/>
        <w:tblInd w:w="0" w:type="dxa"/>
        <w:tblLayout w:type="fixed"/>
        <w:tblCellMar>
          <w:top w:w="28" w:type="dxa"/>
          <w:left w:w="28" w:type="dxa"/>
          <w:bottom w:w="28" w:type="dxa"/>
          <w:right w:w="28" w:type="dxa"/>
        </w:tblCellMar>
      </w:tblPr>
      <w:tblGrid>
        <w:gridCol w:w="547"/>
        <w:gridCol w:w="244"/>
        <w:gridCol w:w="245"/>
        <w:gridCol w:w="109"/>
        <w:gridCol w:w="109"/>
        <w:gridCol w:w="109"/>
        <w:gridCol w:w="370"/>
        <w:gridCol w:w="370"/>
        <w:gridCol w:w="371"/>
        <w:gridCol w:w="109"/>
        <w:gridCol w:w="109"/>
        <w:gridCol w:w="109"/>
        <w:gridCol w:w="211"/>
        <w:gridCol w:w="826"/>
        <w:gridCol w:w="109"/>
        <w:gridCol w:w="109"/>
        <w:gridCol w:w="109"/>
        <w:gridCol w:w="109"/>
        <w:gridCol w:w="565"/>
        <w:gridCol w:w="565"/>
        <w:gridCol w:w="566"/>
        <w:gridCol w:w="109"/>
        <w:gridCol w:w="109"/>
        <w:gridCol w:w="109"/>
        <w:gridCol w:w="195"/>
        <w:gridCol w:w="195"/>
        <w:gridCol w:w="196"/>
        <w:gridCol w:w="109"/>
        <w:gridCol w:w="109"/>
        <w:gridCol w:w="109"/>
        <w:gridCol w:w="565"/>
        <w:gridCol w:w="565"/>
        <w:gridCol w:w="566"/>
        <w:gridCol w:w="109"/>
        <w:gridCol w:w="109"/>
        <w:gridCol w:w="109"/>
        <w:gridCol w:w="565"/>
        <w:gridCol w:w="565"/>
        <w:gridCol w:w="566"/>
        <w:gridCol w:w="109"/>
        <w:gridCol w:w="109"/>
        <w:gridCol w:w="109"/>
        <w:gridCol w:w="510"/>
        <w:gridCol w:w="510"/>
        <w:gridCol w:w="72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Strike Rate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Commencement Date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r>
      <w:tr>
        <w:trPr/>
        <w:tc>
          <w:tcPr>
            <w:tcW w:w="103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mortgage notes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19, 2028</w:t>
            </w:r>
          </w:p>
        </w:tc>
      </w:tr>
    </w:tbl>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of the Company's derivative financial instruments ($ in thousands):</w:t>
      </w:r>
    </w:p>
    <w:tbl>
      <w:tblPr>
        <w:tblW w:w="5929" w:type="dxa"/>
        <w:jc w:val="left"/>
        <w:tblInd w:w="0" w:type="dxa"/>
        <w:tblLayout w:type="fixed"/>
        <w:tblCellMar>
          <w:top w:w="28" w:type="dxa"/>
          <w:left w:w="28" w:type="dxa"/>
          <w:bottom w:w="28" w:type="dxa"/>
          <w:right w:w="28" w:type="dxa"/>
        </w:tblCellMar>
      </w:tblPr>
      <w:tblGrid>
        <w:gridCol w:w="890"/>
        <w:gridCol w:w="781"/>
        <w:gridCol w:w="788"/>
        <w:gridCol w:w="342"/>
        <w:gridCol w:w="756"/>
        <w:gridCol w:w="176"/>
        <w:gridCol w:w="142"/>
        <w:gridCol w:w="142"/>
        <w:gridCol w:w="142"/>
        <w:gridCol w:w="484"/>
        <w:gridCol w:w="933"/>
        <w:gridCol w:w="353"/>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of Derivatives</w:t>
            </w:r>
            <w:r>
              <w:rPr>
                <w:rFonts w:ascii="Times New Roman;serif" w:hAnsi="Times New Roman;serif"/>
                <w:b/>
                <w:color w:val="000000"/>
                <w:sz w:val="13"/>
              </w:rPr>
              <w:t>(1)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Asset</w:t>
            </w:r>
          </w:p>
        </w:tc>
        <w:tc>
          <w:tcPr>
            <w:tcW w:w="34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Liability</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4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The derivative asset and liability balances as of June 30, 2026 and December 31, 2025 are included in other assets and accounts payable, accrued expenses and other liabilities,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claims and legal actions arising in the ordinary course of business. As of June 30, 2026, the Company was not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evaluated subsequent events through the issuance date of the financial statements, and determined that except as otherwise disclosed herein there were no additional material subsequent events requiring disclosure.</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Real estate acquisitions and origination of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originated a $60.0 million mortgage loan, of which $54.0 million has been funded, to finance the acquisition of a neighborhood shopping center in Dallas, Texas Metropolitan Statistical Area. The mortgage loan has an initial term of three years and two one-year extension options.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 2026, the Company acquired a 132,282 square foot neighborhood retail center located in Dallas, Texas Metropolitan Statistical Area for $41.5 million, excluding closing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7, 2026, the Company acquired a 290,503 square foot industrial facility in Miami, Florida Metropolitan Statistical Area for $65.0 million, excluding closing costs.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Amendment to the 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13, 2026, the Repurchase Facility was amended to increase the maximum aggregate purchase price from $250 million to $400 million. All other material terms of the Repurchase Facility remain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References herein to the “Company,” “we,” “us,” or “our” refer to J.P. Morgan Real Estate Income Trust, Inc. together with its consolidated subsidiaries, including J.P. Morgan REIT Operating Partnership, L.P. (the “Operating Partnership”), a Delaware limited partnership of which we are the general partner, unless the context specifically requires otherwise.</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unaudited condensed consolidated financial statements and notes thereto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plans and objectives relating to future growth and availability of funds, and are based on current expectations that involve numerous risks and uncertainties. Assumptions relating to these statements involve judgments with respect to, among other things, future economic, competitive and market conditions and future business decisions, all of which are difficult or impossible to accurately predict and many of which are beyond our control. Such forward-looking statements are inherently uncertain and there are or may be important factors that could cause actual outcomes or results to differ materially from those indicated in such statements. We believe these factors also include those described under the section entitled “Item 1A. Risk Factors” in our Annual Report on Form 10-K for the year ended December 31, 2025, which is accessible on the SEC’s website at www.sec.gov. These factors should not be construed as exhaustive and should be read in conjunction with the other cautionary statements that are included in this document (or our prospectus and other filings). Except as otherwise required by federal securities laws, we undertake no obligation to publicly update or revise any forward-looking statements,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 Maryland corporation formed on November 5, 2021. We were formed to invest primarily in stabilized, income-generating real properties. We are an externally advised, perpetual-life REIT formed to pursue the following investment objectives:</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provide attractive current income in the form of regular, stable cash distributions;</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preserve and protect invested capital;</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realize appreciation in NAV from proactive investment management and asset management; and</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provide an investment alternative for stockholders seeking to allocate a portion of their long-term investment portfolios to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will achieve our investment objectives. In particular, we note that our NAV may be subject to volatility related to changes in the values of our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currently qualify, and intend to continue to qualify, as a REIT for federal income tax purposes. We own all or substantially all of our assets through the Operating Partnership, of which we are the sole general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of directors at all times has ultimate oversight and policymaking authority over us, including responsibility for governance, financial controls, compliance and disclosure. Pursuant to the Advisory Agreement, however, we have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initial public offering of our common stock commenced on July 22, 2022. We acquired our first investment on September 2, 2022.</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8, 2025, we filed a Registration Statement on Form S-11 (File No. 333-288565) for our second public offering to register up to $4.8 billion of shares of common stock, consisting of up to $3.8 billion in shares of common stock in our primary offering and up to $1.0 billion in shares pursuant to our distribution reinvestment plan. On February 4, 2026, we commenced our second public offering and our initial public offering automatically terminated. In addition to our public offerings, we are conducting several private offerings.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intend to contribute the net proceeds from the Offerings which are not used or retained to pay the fees and expenses attributable to our operations to the Operating Partnership. The Operating Partnership will use the net proceeds received from us to make investments in accordance with our investment strategy and policies.</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number and type of properties or real estate-related and other investments that we acquire will depend upon real estate market conditions, the amount of proceeds we raise in the Offerings and other circumstances existing at the time we are acquiring such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not aware of any material trends or uncertainties, favorable or unfavorable, other than national economic conditions affecting real estate generally, that may be reasonably anticipated to have a material impact on either capital resources or the revenue or income to be derived from acquiring properties, real estate debt and real estate-related or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Q2 2026 Highlights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Capital raising and distributions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Raised net proceeds of $174.1 million from the sale of shares of our common stock, including shares issued under our distribution reinvestment plan, during the three months ended June 30, 2026.</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Declared distributions totaling $12.2 million for the three months ended June 30, 2026.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details of the average annualized distribution rates and total returns as of June 30, 2026 are shown in the following table:</w:t>
      </w:r>
    </w:p>
    <w:tbl>
      <w:tblPr>
        <w:tblW w:w="10205" w:type="dxa"/>
        <w:jc w:val="center"/>
        <w:tblInd w:w="0" w:type="dxa"/>
        <w:tblLayout w:type="fixed"/>
        <w:tblCellMar>
          <w:top w:w="28" w:type="dxa"/>
          <w:left w:w="28" w:type="dxa"/>
          <w:bottom w:w="28" w:type="dxa"/>
          <w:right w:w="28" w:type="dxa"/>
        </w:tblCellMar>
      </w:tblPr>
      <w:tblGrid>
        <w:gridCol w:w="2326"/>
        <w:gridCol w:w="2007"/>
        <w:gridCol w:w="2019"/>
        <w:gridCol w:w="238"/>
        <w:gridCol w:w="238"/>
        <w:gridCol w:w="240"/>
        <w:gridCol w:w="109"/>
        <w:gridCol w:w="109"/>
        <w:gridCol w:w="109"/>
        <w:gridCol w:w="220"/>
        <w:gridCol w:w="220"/>
        <w:gridCol w:w="222"/>
        <w:gridCol w:w="109"/>
        <w:gridCol w:w="109"/>
        <w:gridCol w:w="109"/>
        <w:gridCol w:w="238"/>
        <w:gridCol w:w="238"/>
        <w:gridCol w:w="240"/>
        <w:gridCol w:w="109"/>
        <w:gridCol w:w="109"/>
        <w:gridCol w:w="109"/>
        <w:gridCol w:w="226"/>
        <w:gridCol w:w="226"/>
        <w:gridCol w:w="326"/>
      </w:tblGrid>
      <w:tr>
        <w:trPr/>
        <w:tc>
          <w:tcPr>
            <w:tcW w:w="232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annualized distribution rate</w:t>
            </w:r>
            <w:r>
              <w:rPr>
                <w:rFonts w:ascii="Times New Roman;serif" w:hAnsi="Times New Roman;serif"/>
                <w:b w:val="false"/>
                <w:color w:val="000000"/>
                <w:sz w:val="13"/>
              </w:rPr>
              <w:t>(1)</w:t>
            </w:r>
          </w:p>
        </w:tc>
        <w:tc>
          <w:tcPr>
            <w:tcW w:w="7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Year-to-date total return, without upfront selling commissions</w:t>
            </w:r>
            <w:r>
              <w:rPr>
                <w:rFonts w:ascii="Times New Roman;serif" w:hAnsi="Times New Roman;serif"/>
                <w:b w:val="false"/>
                <w:color w:val="000000"/>
                <w:sz w:val="13"/>
              </w:rPr>
              <w:t>(2)</w:t>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Year-to-date total return, assuming maximum upfront selling commissions</w:t>
            </w:r>
            <w:r>
              <w:rPr>
                <w:rFonts w:ascii="Times New Roman;serif" w:hAnsi="Times New Roman;serif"/>
                <w:b w:val="false"/>
                <w:color w:val="000000"/>
                <w:sz w:val="13"/>
              </w:rPr>
              <w:t>(2)</w:t>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Inception-to-date total return, without upfront selling commissions</w:t>
            </w:r>
            <w:r>
              <w:rPr>
                <w:rFonts w:ascii="Times New Roman;serif" w:hAnsi="Times New Roman;serif"/>
                <w:b w:val="false"/>
                <w:color w:val="000000"/>
                <w:sz w:val="13"/>
              </w:rPr>
              <w:t>(2) (3)</w:t>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Inception-to-date total return, assuming maximum upfront selling commissions</w:t>
            </w:r>
            <w:r>
              <w:rPr>
                <w:rFonts w:ascii="Times New Roman;serif" w:hAnsi="Times New Roman;serif"/>
                <w:b w:val="false"/>
                <w:color w:val="000000"/>
                <w:sz w:val="13"/>
              </w:rPr>
              <w:t>(2) (3)</w:t>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r>
    </w:tbl>
    <w:p>
      <w:pPr>
        <w:pStyle w:val="TextBody"/>
        <w:bidi w:val="0"/>
        <w:spacing w:lineRule="auto" w:line="276" w:before="0" w:after="6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Average annualized distribution rate is calculated as the current month's distribution annualized and divided by the prior month's NAV, which is inclusive of all fees and expenses.</w:t>
      </w:r>
    </w:p>
    <w:p>
      <w:pPr>
        <w:pStyle w:val="TextBody"/>
        <w:bidi w:val="0"/>
        <w:spacing w:lineRule="auto" w:line="276" w:before="0" w:after="6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Total return is calculated as the change in NAV per share during the respective period plus any distributions per share declared in the period and assumes any distributions are reinvested in accordance with our distribution reinvestment plan. Inception-to-date total return is annualized.</w:t>
      </w:r>
    </w:p>
    <w:p>
      <w:pPr>
        <w:pStyle w:val="TextBody"/>
        <w:bidi w:val="0"/>
        <w:spacing w:lineRule="auto" w:line="276" w:before="0" w:after="20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The inception date was January 3, 2023 for Class D shares, November 1, 2023 for Class I shares, August 1, 2022 for Class E shares and January 1, 2024 for Class Y shares.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Acquired one multi-family and seven office properties for $89.7 million, excluding closing costs during the three months ended June 30, 2026.</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Portfolio</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outlines the percentage of our assets across investments in real estate, real estate debt and real estate-related and other securities based on fair value by category as of June 30, 2026:</w:t>
      </w:r>
    </w:p>
    <w:p>
      <w:pPr>
        <w:pStyle w:val="TextBody"/>
        <w:bidi w:val="0"/>
        <w:spacing w:lineRule="auto" w:line="276" w:before="240" w:after="120"/>
        <w:jc w:val="center"/>
        <w:rPr/>
      </w:pPr>
      <w:r>
        <w:rPr>
          <w:rFonts w:ascii="Times New Roman;serif" w:hAnsi="Times New Roman;serif"/>
          <w:b w:val="false"/>
          <w:color w:val="000000"/>
          <w:sz w:val="20"/>
        </w:rPr>
        <w:t>Asset Allocation</w:t>
      </w:r>
      <w:r>
        <w:rPr>
          <w:rFonts w:ascii="Times New Roman;serif" w:hAnsi="Times New Roman;serif"/>
          <w:b w:val="false"/>
          <w:color w:val="000000"/>
          <w:sz w:val="13"/>
        </w:rPr>
        <w:t>(1)</w:t>
      </w:r>
    </w:p>
    <w:p>
      <w:pPr>
        <w:pStyle w:val="TextBody"/>
        <w:bidi w:val="0"/>
        <w:spacing w:before="120" w:after="200"/>
        <w:jc w:val="center"/>
        <w:rPr/>
      </w:pPr>
      <w:r>
        <w:rPr/>
        <w:drawing>
          <wp:inline distT="0" distB="0" distL="0" distR="0">
            <wp:extent cx="3838575" cy="264795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3838575" cy="2647950"/>
                    </a:xfrm>
                    <a:prstGeom prst="rect">
                      <a:avLst/>
                    </a:prstGeom>
                  </pic:spPr>
                </pic:pic>
              </a:graphicData>
            </a:graphic>
          </wp:inline>
        </w:drawing>
      </w:r>
    </w:p>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Real estate includes our direct property investments; real estate debt includes commercial mortgage loans; and real estate-related and other securities consists of our CMBS investments.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charts further describe the composition of our investments in real estate based on estimated fair value as of June 30, 2026:</w:t>
      </w:r>
    </w:p>
    <w:p>
      <w:pPr>
        <w:pStyle w:val="TextBody"/>
        <w:bidi w:val="0"/>
        <w:spacing w:before="120" w:after="200"/>
        <w:jc w:val="center"/>
        <w:rPr/>
      </w:pPr>
      <w:r>
        <w:rPr/>
        <w:drawing>
          <wp:inline distT="0" distB="0" distL="0" distR="0">
            <wp:extent cx="3105150" cy="2647950"/>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3105150" cy="2647950"/>
                    </a:xfrm>
                    <a:prstGeom prst="rect">
                      <a:avLst/>
                    </a:prstGeom>
                  </pic:spPr>
                </pic:pic>
              </a:graphicData>
            </a:graphic>
          </wp:inline>
        </w:drawing>
      </w:r>
      <w:r>
        <w:rPr/>
        <w:drawing>
          <wp:inline distT="0" distB="0" distL="0" distR="0">
            <wp:extent cx="3105150" cy="2647950"/>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3105150" cy="2647950"/>
                    </a:xfrm>
                    <a:prstGeom prst="rect">
                      <a:avLst/>
                    </a:prstGeom>
                  </pic:spPr>
                </pic:pic>
              </a:graphicData>
            </a:graphic>
          </wp:inline>
        </w:drawing>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68 real estate properties which are summarized in the following table ($ in thousands): </w:t>
      </w:r>
    </w:p>
    <w:tbl>
      <w:tblPr>
        <w:tblW w:w="10205" w:type="dxa"/>
        <w:jc w:val="left"/>
        <w:tblInd w:w="0" w:type="dxa"/>
        <w:tblLayout w:type="fixed"/>
        <w:tblCellMar>
          <w:top w:w="28" w:type="dxa"/>
          <w:left w:w="28" w:type="dxa"/>
          <w:bottom w:w="28" w:type="dxa"/>
          <w:right w:w="28" w:type="dxa"/>
        </w:tblCellMar>
      </w:tblPr>
      <w:tblGrid>
        <w:gridCol w:w="518"/>
        <w:gridCol w:w="455"/>
        <w:gridCol w:w="412"/>
        <w:gridCol w:w="109"/>
        <w:gridCol w:w="109"/>
        <w:gridCol w:w="109"/>
        <w:gridCol w:w="402"/>
        <w:gridCol w:w="402"/>
        <w:gridCol w:w="403"/>
        <w:gridCol w:w="109"/>
        <w:gridCol w:w="109"/>
        <w:gridCol w:w="109"/>
        <w:gridCol w:w="388"/>
        <w:gridCol w:w="388"/>
        <w:gridCol w:w="389"/>
        <w:gridCol w:w="109"/>
        <w:gridCol w:w="109"/>
        <w:gridCol w:w="109"/>
        <w:gridCol w:w="408"/>
        <w:gridCol w:w="408"/>
        <w:gridCol w:w="409"/>
        <w:gridCol w:w="109"/>
        <w:gridCol w:w="109"/>
        <w:gridCol w:w="109"/>
        <w:gridCol w:w="211"/>
        <w:gridCol w:w="976"/>
        <w:gridCol w:w="109"/>
        <w:gridCol w:w="109"/>
        <w:gridCol w:w="109"/>
        <w:gridCol w:w="109"/>
        <w:gridCol w:w="211"/>
        <w:gridCol w:w="721"/>
        <w:gridCol w:w="109"/>
        <w:gridCol w:w="109"/>
        <w:gridCol w:w="109"/>
        <w:gridCol w:w="109"/>
        <w:gridCol w:w="268"/>
        <w:gridCol w:w="268"/>
        <w:gridCol w:w="388"/>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Sq. Ft. (in thousands)/</w:t>
            </w:r>
          </w:p>
          <w:p>
            <w:pPr>
              <w:pStyle w:val="TableContents"/>
              <w:bidi w:val="0"/>
              <w:spacing w:lineRule="auto" w:line="240" w:before="0" w:after="0"/>
              <w:jc w:val="center"/>
              <w:rPr/>
            </w:pPr>
            <w:r>
              <w:rPr>
                <w:rFonts w:ascii="Times New Roman;serif" w:hAnsi="Times New Roman;serif"/>
                <w:b/>
                <w:color w:val="000000"/>
                <w:sz w:val="20"/>
              </w:rPr>
              <w:t>Number of Units</w:t>
            </w:r>
            <w:r>
              <w:rPr>
                <w:rFonts w:ascii="Times New Roman;serif" w:hAnsi="Times New Roman;serif"/>
                <w:b/>
                <w:color w:val="000000"/>
                <w:sz w:val="13"/>
              </w:rPr>
              <w:t>(1)</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 Rate</w:t>
            </w:r>
            <w:r>
              <w:rPr>
                <w:rFonts w:ascii="Times New Roman;serif" w:hAnsi="Times New Roman;serif"/>
                <w:b/>
                <w:color w:val="000000"/>
                <w:sz w:val="13"/>
              </w:rPr>
              <w:t>(1)(2)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Gross Asset </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Revenue</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br/>
              <w:t> Revenue</w:t>
            </w:r>
          </w:p>
        </w:tc>
      </w:tr>
      <w:tr>
        <w:trPr/>
        <w:tc>
          <w:tcPr>
            <w:tcW w:w="13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3,117 units </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1,037,462 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Single-family rental</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126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Industrial</w:t>
            </w:r>
            <w:r>
              <w:rPr>
                <w:rFonts w:ascii="Times New Roman;serif" w:hAnsi="Times New Roman;serif"/>
                <w:b w:val="false"/>
                <w:color w:val="000000"/>
                <w:sz w:val="13"/>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5,664 sq. ft.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236 sq. 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3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958 sq. ft.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1,750,512 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Excludes properties under development related to one of our retail investments.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Reflects real estate operating property investments only. Occupancy for our multifamily and single-family rental properties is measured monthly by dividing property market rent for occupied units by the gross market rent potential of all units. Gross market rent potential is the average monthly market rent of all units at the property. For our retail, office and industrial properties,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Based on fair value as of June 30, 2026.</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Revenue includes tenant recoveries, straight-line rent, above-market lease amortization and below-market lease amortization.</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126 townhomes that are presented as a single property in the number of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Includes 3.7 million square feet of land related to industrial outdoor storage and 2.0 million square feet of buildings related to other industrial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(7)</w:t>
      </w:r>
      <w:r>
        <w:rPr>
          <w:rFonts w:ascii="Times New Roman;serif" w:hAnsi="Times New Roman;serif"/>
          <w:b w:val="false"/>
          <w:color w:val="000000"/>
          <w:sz w:val="20"/>
        </w:rPr>
        <w:t>Includes five retail developments that are represented as a single property in the number of properties.</w:t>
      </w:r>
    </w:p>
    <w:p>
      <w:pPr>
        <w:pStyle w:val="TextBody"/>
        <w:bidi w:val="0"/>
        <w:spacing w:before="120" w:after="283"/>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real estate properties as of June 30, 2026:</w:t>
      </w:r>
    </w:p>
    <w:tbl>
      <w:tblPr>
        <w:tblW w:w="10205" w:type="dxa"/>
        <w:jc w:val="left"/>
        <w:tblInd w:w="0" w:type="dxa"/>
        <w:tblLayout w:type="fixed"/>
        <w:tblCellMar>
          <w:top w:w="28" w:type="dxa"/>
          <w:left w:w="28" w:type="dxa"/>
          <w:bottom w:w="28" w:type="dxa"/>
          <w:right w:w="28" w:type="dxa"/>
        </w:tblCellMar>
      </w:tblPr>
      <w:tblGrid>
        <w:gridCol w:w="599"/>
        <w:gridCol w:w="379"/>
        <w:gridCol w:w="381"/>
        <w:gridCol w:w="109"/>
        <w:gridCol w:w="109"/>
        <w:gridCol w:w="109"/>
        <w:gridCol w:w="353"/>
        <w:gridCol w:w="353"/>
        <w:gridCol w:w="354"/>
        <w:gridCol w:w="109"/>
        <w:gridCol w:w="109"/>
        <w:gridCol w:w="109"/>
        <w:gridCol w:w="486"/>
        <w:gridCol w:w="461"/>
        <w:gridCol w:w="322"/>
        <w:gridCol w:w="109"/>
        <w:gridCol w:w="109"/>
        <w:gridCol w:w="109"/>
        <w:gridCol w:w="398"/>
        <w:gridCol w:w="398"/>
        <w:gridCol w:w="399"/>
        <w:gridCol w:w="109"/>
        <w:gridCol w:w="109"/>
        <w:gridCol w:w="109"/>
        <w:gridCol w:w="341"/>
        <w:gridCol w:w="341"/>
        <w:gridCol w:w="342"/>
        <w:gridCol w:w="109"/>
        <w:gridCol w:w="109"/>
        <w:gridCol w:w="109"/>
        <w:gridCol w:w="393"/>
        <w:gridCol w:w="393"/>
        <w:gridCol w:w="394"/>
        <w:gridCol w:w="109"/>
        <w:gridCol w:w="109"/>
        <w:gridCol w:w="109"/>
        <w:gridCol w:w="336"/>
        <w:gridCol w:w="336"/>
        <w:gridCol w:w="484"/>
      </w:tblGrid>
      <w:tr>
        <w:trPr/>
        <w:tc>
          <w:tcPr>
            <w:tcW w:w="5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 and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Location</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Ownership </w:t>
            </w:r>
          </w:p>
          <w:p>
            <w:pPr>
              <w:pStyle w:val="TableContents"/>
              <w:bidi w:val="0"/>
              <w:spacing w:lineRule="auto" w:line="240" w:before="0" w:after="0"/>
              <w:jc w:val="center"/>
              <w:rPr/>
            </w:pPr>
            <w:r>
              <w:rPr>
                <w:rFonts w:ascii="Times New Roman;serif" w:hAnsi="Times New Roman;serif"/>
                <w:b/>
                <w:color w:val="000000"/>
                <w:sz w:val="20"/>
              </w:rPr>
              <w:t>Interest</w:t>
            </w:r>
            <w:r>
              <w:rPr>
                <w:rFonts w:ascii="Times New Roman;serif" w:hAnsi="Times New Roman;serif"/>
                <w:b/>
                <w:color w:val="000000"/>
                <w:sz w:val="13"/>
              </w:rPr>
              <w:t>(2)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Sq. ft. (in thousands)/Number of Units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w:t>
            </w:r>
            <w:r>
              <w:rPr>
                <w:rFonts w:ascii="Times New Roman;serif" w:hAnsi="Times New Roman;serif"/>
                <w:b/>
                <w:color w:val="000000"/>
                <w:sz w:val="13"/>
              </w:rPr>
              <w:t>(4)</w:t>
            </w:r>
          </w:p>
        </w:tc>
      </w:tr>
      <w:tr>
        <w:trPr/>
        <w:tc>
          <w:tcPr>
            <w:tcW w:w="135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Multifamily: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Houston, TX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Pittsburgh,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Preserve at Pine Valley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Wilmington, 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Atlanta,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Elmstead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Providence, RI</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Kensley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Echelon Oswego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Chicago, 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Reflections at Red 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 Darby Portfolio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Charleston, SC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647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Vineyard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Kingston,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 Factory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Boston, MA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Harrison Hill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Philadelphia, 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144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multifamily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3,117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Fiore</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Sarasota, FL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2023 - September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Industrial outdoor storage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6200 Bristol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Philadelphia, PA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outdoor storage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and 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3,284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industrial outdoor storage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3,708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Savannah Truck Terminal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Savannah, GA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Norfolk Industrial Portfolio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 Infill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and 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553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5"/>
        <w:gridCol w:w="403"/>
        <w:gridCol w:w="405"/>
        <w:gridCol w:w="109"/>
        <w:gridCol w:w="109"/>
        <w:gridCol w:w="109"/>
        <w:gridCol w:w="371"/>
        <w:gridCol w:w="371"/>
        <w:gridCol w:w="372"/>
        <w:gridCol w:w="109"/>
        <w:gridCol w:w="109"/>
        <w:gridCol w:w="109"/>
        <w:gridCol w:w="431"/>
        <w:gridCol w:w="431"/>
        <w:gridCol w:w="343"/>
        <w:gridCol w:w="109"/>
        <w:gridCol w:w="109"/>
        <w:gridCol w:w="109"/>
        <w:gridCol w:w="373"/>
        <w:gridCol w:w="373"/>
        <w:gridCol w:w="375"/>
        <w:gridCol w:w="109"/>
        <w:gridCol w:w="109"/>
        <w:gridCol w:w="109"/>
        <w:gridCol w:w="341"/>
        <w:gridCol w:w="341"/>
        <w:gridCol w:w="342"/>
        <w:gridCol w:w="109"/>
        <w:gridCol w:w="109"/>
        <w:gridCol w:w="109"/>
        <w:gridCol w:w="439"/>
        <w:gridCol w:w="439"/>
        <w:gridCol w:w="440"/>
        <w:gridCol w:w="109"/>
        <w:gridCol w:w="109"/>
        <w:gridCol w:w="109"/>
        <w:gridCol w:w="338"/>
        <w:gridCol w:w="338"/>
        <w:gridCol w:w="492"/>
      </w:tblGrid>
      <w:tr>
        <w:trPr/>
        <w:tc>
          <w:tcPr>
            <w:tcW w:w="4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 and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Location</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Ownership </w:t>
            </w:r>
          </w:p>
          <w:p>
            <w:pPr>
              <w:pStyle w:val="TableContents"/>
              <w:bidi w:val="0"/>
              <w:spacing w:lineRule="auto" w:line="240" w:before="0" w:after="0"/>
              <w:jc w:val="center"/>
              <w:rPr/>
            </w:pPr>
            <w:r>
              <w:rPr>
                <w:rFonts w:ascii="Times New Roman;serif" w:hAnsi="Times New Roman;serif"/>
                <w:b/>
                <w:color w:val="000000"/>
                <w:sz w:val="20"/>
              </w:rPr>
              <w:t>Interest</w:t>
            </w:r>
            <w:r>
              <w:rPr>
                <w:rFonts w:ascii="Times New Roman;serif" w:hAnsi="Times New Roman;serif"/>
                <w:b/>
                <w:color w:val="000000"/>
                <w:sz w:val="13"/>
              </w:rPr>
              <w:t>(2)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Sq. ft. (in thousands)/Number of Units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w:t>
            </w:r>
            <w:r>
              <w:rPr>
                <w:rFonts w:ascii="Times New Roman;serif" w:hAnsi="Times New Roman;serif"/>
                <w:b/>
                <w:color w:val="000000"/>
                <w:sz w:val="13"/>
              </w:rPr>
              <w:t>(4)</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11801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Fisher Street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Worcester, MA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1,956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Shops at Grand Avenue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Stablewood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Shoppes at Heron Lakes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Miami, FL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Edge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Boston, MA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June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958 sq. 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958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Refers to the metropolitan statistical area.</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Certain of the joint venture agreements entered into by us provide the other partner a profits interest based on certain internal rate of return hurdles being achieved.</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Excludes properties under development related to one of our retail investments.</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Reflects real estate operating property investments only. Occupancy for our multifamily properties is measured monthly by dividing property market rent for occupied units by the gross market rent potential of all units. Gross market rent potential is the average monthly market rent of all units at the property. For our retail, office and industrial investments,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126 townhomes that are presented as a single property in the number of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Includes five properties located in Illinois, three properties located in New Jersey, two properties in each of Pennsylvania, New York and Wisconsin and one property in each of California, Connecticut and Washington.</w:t>
      </w:r>
    </w:p>
    <w:p>
      <w:pPr>
        <w:pStyle w:val="TextBody"/>
        <w:bidi w:val="0"/>
        <w:spacing w:lineRule="auto" w:line="276" w:before="0" w:after="0"/>
        <w:ind w:left="0" w:right="0" w:hanging="18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one property located in Tampa, Florida and one located in Pinellas Park, Florida.</w:t>
      </w:r>
    </w:p>
    <w:p>
      <w:pPr>
        <w:pStyle w:val="TextBody"/>
        <w:bidi w:val="0"/>
        <w:spacing w:lineRule="auto" w:line="276" w:before="0" w:after="0"/>
        <w:ind w:left="0" w:right="0" w:hanging="180"/>
        <w:jc w:val="left"/>
        <w:rPr/>
      </w:pPr>
      <w:r>
        <w:rPr>
          <w:rFonts w:ascii="Times New Roman;serif" w:hAnsi="Times New Roman;serif"/>
          <w:b w:val="false"/>
          <w:color w:val="000000"/>
          <w:sz w:val="13"/>
        </w:rPr>
        <w:t>(8)</w:t>
      </w:r>
      <w:r>
        <w:rPr>
          <w:rFonts w:ascii="Times New Roman;serif" w:hAnsi="Times New Roman;serif"/>
          <w:b w:val="false"/>
          <w:color w:val="000000"/>
          <w:sz w:val="20"/>
        </w:rPr>
        <w:t>Represents six properties located in Norfolk, Virginia and one located in Rockledge, Florida.</w:t>
      </w:r>
    </w:p>
    <w:p>
      <w:pPr>
        <w:pStyle w:val="TextBody"/>
        <w:bidi w:val="0"/>
        <w:spacing w:lineRule="auto" w:line="276"/>
        <w:ind w:left="0" w:right="0" w:hanging="180"/>
        <w:jc w:val="left"/>
        <w:rPr/>
      </w:pPr>
      <w:r>
        <w:rPr>
          <w:rFonts w:ascii="Times New Roman;serif" w:hAnsi="Times New Roman;serif"/>
          <w:b w:val="false"/>
          <w:color w:val="000000"/>
          <w:sz w:val="13"/>
        </w:rPr>
        <w:t>(9)</w:t>
      </w:r>
      <w:r>
        <w:rPr>
          <w:rFonts w:ascii="Times New Roman;serif" w:hAnsi="Times New Roman;serif"/>
          <w:b w:val="false"/>
          <w:color w:val="000000"/>
          <w:sz w:val="20"/>
        </w:rPr>
        <w:t>Represents five retail developments including one in Greenville, South Carolina, one in Denver, Colorado, one in Holland, Michigan, one in Greeley, Colorado and one in Oklahoma City, Oklahoma.</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Lease expirations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expiring operating leases at our retail and industrial properties by annualized base rent as of June 30, 2026 ($ in thousands). The table below excludes our multifamily and single-family rental properties as substantially all leases at such properties expire within 12 months:</w:t>
      </w:r>
    </w:p>
    <w:tbl>
      <w:tblPr>
        <w:tblW w:w="9920" w:type="dxa"/>
        <w:jc w:val="left"/>
        <w:tblInd w:w="0" w:type="dxa"/>
        <w:tblLayout w:type="fixed"/>
        <w:tblCellMar>
          <w:top w:w="28" w:type="dxa"/>
          <w:left w:w="28" w:type="dxa"/>
          <w:bottom w:w="28" w:type="dxa"/>
          <w:right w:w="28" w:type="dxa"/>
        </w:tblCellMar>
      </w:tblPr>
      <w:tblGrid>
        <w:gridCol w:w="553"/>
        <w:gridCol w:w="485"/>
        <w:gridCol w:w="491"/>
        <w:gridCol w:w="109"/>
        <w:gridCol w:w="109"/>
        <w:gridCol w:w="109"/>
        <w:gridCol w:w="809"/>
        <w:gridCol w:w="809"/>
        <w:gridCol w:w="812"/>
        <w:gridCol w:w="109"/>
        <w:gridCol w:w="109"/>
        <w:gridCol w:w="109"/>
        <w:gridCol w:w="337"/>
        <w:gridCol w:w="1153"/>
        <w:gridCol w:w="175"/>
        <w:gridCol w:w="109"/>
        <w:gridCol w:w="109"/>
        <w:gridCol w:w="109"/>
        <w:gridCol w:w="970"/>
        <w:gridCol w:w="970"/>
        <w:gridCol w:w="1375"/>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Expiring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Annualized Rent</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Annualized Rent Expiring</w:t>
            </w:r>
          </w:p>
        </w:tc>
      </w:tr>
      <w:tr>
        <w:trPr/>
        <w:tc>
          <w:tcPr>
            <w:tcW w:w="15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48,472 </w:t>
            </w:r>
          </w:p>
        </w:tc>
        <w:tc>
          <w:tcPr>
            <w:tcW w:w="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annualized base rent as of June 30, 2026 and excludes tenant recoveries.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investments in real estate debt as of June 30, 2026 and December 31, 2025 ($ in thousands): </w:t>
      </w:r>
    </w:p>
    <w:tbl>
      <w:tblPr>
        <w:tblW w:w="13731" w:type="dxa"/>
        <w:jc w:val="left"/>
        <w:tblInd w:w="0" w:type="dxa"/>
        <w:tblLayout w:type="fixed"/>
        <w:tblCellMar>
          <w:top w:w="28" w:type="dxa"/>
          <w:left w:w="28" w:type="dxa"/>
          <w:bottom w:w="28" w:type="dxa"/>
          <w:right w:w="28" w:type="dxa"/>
        </w:tblCellMar>
      </w:tblPr>
      <w:tblGrid>
        <w:gridCol w:w="549"/>
        <w:gridCol w:w="355"/>
        <w:gridCol w:w="207"/>
        <w:gridCol w:w="109"/>
        <w:gridCol w:w="109"/>
        <w:gridCol w:w="109"/>
        <w:gridCol w:w="290"/>
        <w:gridCol w:w="290"/>
        <w:gridCol w:w="291"/>
        <w:gridCol w:w="109"/>
        <w:gridCol w:w="109"/>
        <w:gridCol w:w="109"/>
        <w:gridCol w:w="225"/>
        <w:gridCol w:w="225"/>
        <w:gridCol w:w="226"/>
        <w:gridCol w:w="109"/>
        <w:gridCol w:w="109"/>
        <w:gridCol w:w="109"/>
        <w:gridCol w:w="565"/>
        <w:gridCol w:w="565"/>
        <w:gridCol w:w="566"/>
        <w:gridCol w:w="109"/>
        <w:gridCol w:w="109"/>
        <w:gridCol w:w="109"/>
        <w:gridCol w:w="565"/>
        <w:gridCol w:w="565"/>
        <w:gridCol w:w="566"/>
        <w:gridCol w:w="109"/>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Rated</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+ 2.52%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SOFR” refers to the Secured Overnight Financing Rate as of June 30, 2026.</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estate-related and other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investments in real estate-related and other securities as of June 30, 2026 and December 31, 2025 ($ in thousands):</w:t>
      </w:r>
    </w:p>
    <w:tbl>
      <w:tblPr>
        <w:tblW w:w="13650"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565"/>
        <w:gridCol w:w="565"/>
        <w:gridCol w:w="566"/>
        <w:gridCol w:w="109"/>
        <w:gridCol w:w="109"/>
        <w:gridCol w:w="109"/>
        <w:gridCol w:w="565"/>
        <w:gridCol w:w="565"/>
        <w:gridCol w:w="56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Estate-Related and Other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r>
      <w:tr>
        <w:trPr/>
        <w:tc>
          <w:tcPr>
            <w:tcW w:w="135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2039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regarding our consolidated results of operations ($ in thousands, except per share data):</w:t>
      </w:r>
    </w:p>
    <w:tbl>
      <w:tblPr>
        <w:tblW w:w="10205" w:type="dxa"/>
        <w:jc w:val="left"/>
        <w:tblInd w:w="0" w:type="dxa"/>
        <w:tblLayout w:type="fixed"/>
        <w:tblCellMar>
          <w:top w:w="28" w:type="dxa"/>
          <w:left w:w="28" w:type="dxa"/>
          <w:bottom w:w="28" w:type="dxa"/>
          <w:right w:w="28" w:type="dxa"/>
        </w:tblCellMar>
      </w:tblPr>
      <w:tblGrid>
        <w:gridCol w:w="1249"/>
        <w:gridCol w:w="505"/>
        <w:gridCol w:w="509"/>
        <w:gridCol w:w="212"/>
        <w:gridCol w:w="725"/>
        <w:gridCol w:w="109"/>
        <w:gridCol w:w="109"/>
        <w:gridCol w:w="109"/>
        <w:gridCol w:w="109"/>
        <w:gridCol w:w="212"/>
        <w:gridCol w:w="725"/>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60"/>
      </w:tblGrid>
      <w:tr>
        <w:trPr/>
        <w:tc>
          <w:tcPr>
            <w:tcW w:w="124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37,505</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16,399</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31,799</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income, net</w:t>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0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JPMREIT stockholders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 basic</w:t>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 diluted</w:t>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 basic</w:t>
            </w:r>
          </w:p>
        </w:tc>
        <w:tc>
          <w:tcPr>
            <w:tcW w:w="9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31,989 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 diluted</w:t>
            </w:r>
          </w:p>
        </w:tc>
        <w:tc>
          <w:tcPr>
            <w:tcW w:w="9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31,984 </w:t>
            </w:r>
          </w:p>
        </w:tc>
        <w:tc>
          <w:tcPr>
            <w:tcW w:w="1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Due to our acquisitions of real estate since June 30, 2025, our rental revenue for the three and six months ended June 30, 2026 and June 30, 2025 is not comparable. Rental revenue primarily consists of base rent arising from tenant leases at our multifamily, single-family rental, industrial, office and retail properties. Rental revenue, aside from short-term leases generally less than one year in term, is recognized on a straight-line basis over the life of the lease, including any fixed and measurable rent escalations and abatements.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Rental property operating expenses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Rental property operating expenses consist of the costs of ownership and operation of our real estate investments. Examples of rental property operating expenses include insurance, utilities, real estate taxes and repair and maintenance expenses. Due to our acquisitions of real estate since June 30, 2025, our rental property operating expenses for the three and six months ended June 30, 2026 and June 30, 2025 are not comparable.</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are impacted by the fair values assigned to buildings, personal property and in-place lease assets as part of the initial purchase price allocation. During the three and six months ended June 30, 2026,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by $5.0 million and $16.4 million, respectively, in comparison to the corresponding period in 2025. Depreciation and amortization expense increased as compared to the corresponding periods in 2025 due to our acquisitions of real estate since June 30, 2025.</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from 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income from investments in real estate debt increased by $2.8 million and $6.5 million, respectively, in comparison to the corresponding period in 2025 primarily due to the $186.5 million of real estate debt originated since June 30, 2025, partially offset by $16.8 million of repayments.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from investments in real estate-related and other securities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income from investments in real estate-related and other securities decreased by $0.9 million and $2.0 million, respectively, in comparison to the corresponding period in 2025. For the three months ended June 30, 2026, the decrease was primarily due to a decrease in interest income of $0.6 million and a decrease in realized gain of $0.3 million. For the six months ended June 30, 2026, the decrease was due to a decrease in interest income of $0.9 million.</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Mandatorily redeemable instruments interest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mandatorily redeemable instruments interest costs decreased by $1.5 million and $2.2 million, respectively, in comparison to the corresponding period in 2025. For the three months ended June 30, 2026, the decrease was primarily due to a decrease in distributions declared of $1.0 million and a decrease in redemption value adjustment of $0.5 million due to repurchases of Mandatorily Redeemable Instruments during the year. For the six months ended June 30, 2026, the decrease was primarily due to a decrease in distributions declared of $1.8 million and a decrease in redemption value adjustment of $0.4 million due to repurchases of Mandatorily Redeemable Instruments during the year.</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interest expense increased by $5.6 million and $12.5 million, respectively, in comparison to the corresponding period in 2025. Interest expense consists of interest expense incurred on our mortgage notes, Repurchase Facility and the Credit Facility. The change in interest expense was primarily attributable to an increase in interest expense relating to our new mortgage notes and an increase in borrowings under the Repurchase Facility and the Credit Facility since June 30, 2025.</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other income, net decreased by $0.8 million and $3.5 million, respectively, in comparison to the corresponding period in 2025.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decrease was primarily due to a $3.8 million decrease in interest income from our investment in a money market fund partially offset by a $1.2 million increase in interest income and an increase of $1.3 million in unrealized gains on derivatives instruments.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decrease was primarily due to a $3.8 million decrease in interest income from our investment in a money market fund and a $1.2 million decrease in interest income partially offset by an increase of $1.2 million in unrealized gains on derivatives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Funds from Operations and Adjusted Funds from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funds from operations (“FFO”) is a meaningful supplemental non-GAAP operating measure, which should be considered along with, but not as an alternative to, net income (loss) as a measure of operating performance. Our condensed consolidated financial statements are presented under historical cost accounting which, among other things, requires depreciation of real estate investments to be calculated on a straight-line basis. As a result, our operating results imply that the value of our real estate investments will decrease evenly over a set time period. However, we believe that the value of real estate investments will change over time based on market conditions and as such, depreciation under historical cost accounting may be less informative. FFO is a standard REIT industry measure defined by the National Association of Real Estate Investment Trusts (“Nareit”).</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FFO, as defined by Nareit and presented below, is calculated as net income or loss (computed in accordance with GAAP), excluding (i) depreciation and amortization, (ii) impairment of investments in real estate, (iii) net gains or losses from sales of real estate, (iv) net gains or losses from change in control, and (v) similar adjustments for non-controlling interests and unconsolidated entities.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also believe that adjusted FFO (“AFFO”) is a meaningful supplemental non-GAAP disclosure of our operating results. AFFO further adjusts FFO in order for our operating results to reflect the specific characteristics of our business by adjusting for items we believe are not related to our core operations. Our adjustments to FFO to arrive at AFFO include removing the impact of (i) straight-line rental income and expense, (ii) amortization of above- and below-market lease intangibles, net, (iii) unrealized gains or losses in fair value of financial instruments, (iv) non-cash performance participation allocation, (v) organization costs, (vi) amortization of deferred financing costs, (vii) amortization of restricted stock awards, (viii) amortization of mortgage premium/discount, and (ix) similar adjustments for unconsolidated joint ventures. AFFO is not defined by Nareit and our calculation of AFFO may not be comparable to disclosures made by other REITs.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attributable to stockholders to FFO and AFFO ($ in thousands):</w:t>
      </w:r>
    </w:p>
    <w:tbl>
      <w:tblPr>
        <w:tblW w:w="10205" w:type="dxa"/>
        <w:jc w:val="left"/>
        <w:tblInd w:w="0" w:type="dxa"/>
        <w:tblLayout w:type="fixed"/>
        <w:tblCellMar>
          <w:top w:w="28" w:type="dxa"/>
          <w:left w:w="28" w:type="dxa"/>
          <w:bottom w:w="28" w:type="dxa"/>
          <w:right w:w="28" w:type="dxa"/>
        </w:tblCellMar>
      </w:tblPr>
      <w:tblGrid>
        <w:gridCol w:w="1790"/>
        <w:gridCol w:w="1521"/>
        <w:gridCol w:w="1525"/>
        <w:gridCol w:w="109"/>
        <w:gridCol w:w="227"/>
        <w:gridCol w:w="776"/>
        <w:gridCol w:w="116"/>
        <w:gridCol w:w="116"/>
        <w:gridCol w:w="116"/>
        <w:gridCol w:w="116"/>
        <w:gridCol w:w="227"/>
        <w:gridCol w:w="663"/>
        <w:gridCol w:w="116"/>
        <w:gridCol w:w="109"/>
        <w:gridCol w:w="109"/>
        <w:gridCol w:w="109"/>
        <w:gridCol w:w="211"/>
        <w:gridCol w:w="721"/>
        <w:gridCol w:w="109"/>
        <w:gridCol w:w="109"/>
        <w:gridCol w:w="109"/>
        <w:gridCol w:w="109"/>
        <w:gridCol w:w="211"/>
        <w:gridCol w:w="721"/>
        <w:gridCol w:w="160"/>
      </w:tblGrid>
      <w:tr>
        <w:trPr/>
        <w:tc>
          <w:tcPr>
            <w:tcW w:w="179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FFO:</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or losses from sales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non-controlling interests for above adjustments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AFFO:</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above-and below-market lease intangibles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mortgage discount</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non-controlling interests for above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AFFO attributable to JPMREIT stockholders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Our primary needs for liquidity and capital resources are to fund our investments, to make distributions to our stockholders, to repurchase shares of our common stock pursuant to our share repurchase plan, to pay our offering and operating fees and expenses and to pay interest on any outstanding indebtedness we may incur. Our offering and operating fees and expenses include the management fee we pay to the Adviser, the performance participation allocation that the Operating Partnership pay to the Special Limited Partner, stockholder servicing fees we pay to the Dealer Manager, legal, audit, tax and valuation expenses, federal and state filing fees, printing expenses, administrative fees, transfer agent fees, marketing and distribution expenses and fees related to acquiring, financing, appraising and managing our properties. We do not have any office or personnel expenses as we do not have any employees.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Over time, we generally intend to fund our cash needs for items other than asset acquisitions from operations. Our cash needs for acquisitions will be funded primarily from the sale of shares of our common stock, through the assumption or incurrence of secured or unsecured financings from banks or other lenders and from proceeds from the sales of assets. If necessary, we may use financings or other sources of capital in the event of unforeseen significant capital expenditures.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substantial funds, we will make fewer investments, resulting in less diversification in terms of the type, number and size of investments we make and the value of an investment in us will fluctuate with the performance of the specific assets we acquire. Further, we have certain fixed operating expenses, including certain expenses as a publicly offered REIT, regardless of whether we are able to raise substantial funds. Our inability to raise substantial funds would increase our fixed operating expenses as a percentage of gross income, reducing our net income and limiting our ability to make distributions.</w:t>
      </w:r>
    </w:p>
    <w:p>
      <w:pPr>
        <w:pStyle w:val="TextBody"/>
        <w:bidi w:val="0"/>
        <w:spacing w:before="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indebtedness as of June 30, 2026 and December 31, 2025 ($ in thousands):</w:t>
      </w:r>
    </w:p>
    <w:tbl>
      <w:tblPr>
        <w:tblW w:w="10205" w:type="dxa"/>
        <w:jc w:val="left"/>
        <w:tblInd w:w="0" w:type="dxa"/>
        <w:tblLayout w:type="fixed"/>
        <w:tblCellMar>
          <w:top w:w="28" w:type="dxa"/>
          <w:left w:w="28" w:type="dxa"/>
          <w:bottom w:w="28" w:type="dxa"/>
          <w:right w:w="28" w:type="dxa"/>
        </w:tblCellMar>
      </w:tblPr>
      <w:tblGrid>
        <w:gridCol w:w="701"/>
        <w:gridCol w:w="616"/>
        <w:gridCol w:w="619"/>
        <w:gridCol w:w="109"/>
        <w:gridCol w:w="109"/>
        <w:gridCol w:w="109"/>
        <w:gridCol w:w="342"/>
        <w:gridCol w:w="342"/>
        <w:gridCol w:w="343"/>
        <w:gridCol w:w="109"/>
        <w:gridCol w:w="109"/>
        <w:gridCol w:w="109"/>
        <w:gridCol w:w="455"/>
        <w:gridCol w:w="403"/>
        <w:gridCol w:w="404"/>
        <w:gridCol w:w="109"/>
        <w:gridCol w:w="109"/>
        <w:gridCol w:w="109"/>
        <w:gridCol w:w="211"/>
        <w:gridCol w:w="828"/>
        <w:gridCol w:w="109"/>
        <w:gridCol w:w="109"/>
        <w:gridCol w:w="109"/>
        <w:gridCol w:w="109"/>
        <w:gridCol w:w="109"/>
        <w:gridCol w:w="109"/>
        <w:gridCol w:w="313"/>
        <w:gridCol w:w="1229"/>
        <w:gridCol w:w="161"/>
        <w:gridCol w:w="161"/>
        <w:gridCol w:w="253"/>
        <w:gridCol w:w="994"/>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Outstanding</w:t>
            </w:r>
          </w:p>
        </w:tc>
        <w:tc>
          <w:tcPr>
            <w:tcW w:w="1442" w:type="dxa"/>
            <w:gridSpan w:val="3"/>
            <w:tcBorders/>
          </w:tcPr>
          <w:p>
            <w:pPr>
              <w:pStyle w:val="TableContents"/>
              <w:bidi w:val="0"/>
              <w:spacing w:before="0" w:after="283"/>
              <w:jc w:val="left"/>
              <w:rPr>
                <w:sz w:val="4"/>
                <w:szCs w:val="4"/>
              </w:rPr>
            </w:pPr>
            <w:r>
              <w:rPr>
                <w:sz w:val="4"/>
                <w:szCs w:val="4"/>
              </w:rPr>
            </w:r>
          </w:p>
        </w:tc>
      </w:tr>
      <w:tr>
        <w:trPr/>
        <w:tc>
          <w:tcPr>
            <w:tcW w:w="193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Indebtedness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Maximum </w:t>
              <w:br/>
              <w:t>Facility Size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Fixed rate debt secured by our properties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Elmstead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239,747 </w:t>
            </w:r>
          </w:p>
        </w:tc>
        <w:tc>
          <w:tcPr>
            <w:tcW w:w="1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240,274 </w:t>
            </w:r>
          </w:p>
        </w:tc>
        <w:tc>
          <w:tcPr>
            <w:tcW w:w="19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rate debt secured by our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6200 Bristol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Norfolk Industrial Portfolio</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Preserve at Pine Valley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Vineyard Commons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Stablewood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129,643 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125,367 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secured by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SOFR + 1.52%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SOFR + 1.40%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652,840 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607,091 </w:t>
            </w:r>
          </w:p>
        </w:tc>
        <w:tc>
          <w:tcPr>
            <w:tcW w:w="1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This loan is comprised of a senior and mezzanine loan. The interest rate and maturity date presented are the weighted average.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We entered into an interest rate swap that was not designated as a hedge, which fixed the rate at 6.26%.</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We entered into an interest rate swap that was not designated as a hedge, which fixed the rate at 5.41%.</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We entered into an interest rate swap that was not designated as a hedge, which fixed the rate at 4.90%.</w:t>
      </w:r>
    </w:p>
    <w:p>
      <w:pPr>
        <w:pStyle w:val="TextBody"/>
        <w:bidi w:val="0"/>
        <w:spacing w:lineRule="auto" w:line="276" w:before="0" w:after="12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We entered into an interest rate swap that was not designated as a hedge, which fixed the rate at 4.88%.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net change in our cash and cash equivalents and restricted cash ($ in thousands):</w:t>
      </w:r>
    </w:p>
    <w:tbl>
      <w:tblPr>
        <w:tblW w:w="8924" w:type="dxa"/>
        <w:jc w:val="left"/>
        <w:tblInd w:w="0" w:type="dxa"/>
        <w:tblLayout w:type="fixed"/>
        <w:tblCellMar>
          <w:top w:w="28" w:type="dxa"/>
          <w:left w:w="28" w:type="dxa"/>
          <w:bottom w:w="28" w:type="dxa"/>
          <w:right w:w="28" w:type="dxa"/>
        </w:tblCellMar>
      </w:tblPr>
      <w:tblGrid>
        <w:gridCol w:w="1677"/>
        <w:gridCol w:w="1477"/>
        <w:gridCol w:w="1481"/>
        <w:gridCol w:w="258"/>
        <w:gridCol w:w="883"/>
        <w:gridCol w:w="133"/>
        <w:gridCol w:w="109"/>
        <w:gridCol w:w="109"/>
        <w:gridCol w:w="109"/>
        <w:gridCol w:w="241"/>
        <w:gridCol w:w="910"/>
        <w:gridCol w:w="124"/>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482,966 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(58,311)</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$13.3 million for the six months ended June 30, 2026 compared to the corresponding period in 2025 primarily due to an increase in cash flows from operations from our investments in real estate as a result of growth in the size of our portfolio.</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decreased by $359.1 million for the six months ended June 30, 2026 compared to the corresponding period in 2025 primarily due to a decrease of $365.2 million in real estate acquisitions and a decrease of $63.1 million in purchase of real-estate related and other securities, partially offset by an increase of $24.3 million in the origination of investments in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decreased by $302.6 million for the six months ended June 30, 2026 compared to the corresponding period in 2025 primarily due to a decrease of net proceeds from the issuance of common stock of $193.1 million, an increase of $65.8 million in repurchases of common stock and Mandatorily Redeemable Instruments and a decrease of $38.3 million in proceeds from mortgage notes, partially offset by an increase of $18.2 million in proceeds from the Repurchase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generally intend to distribute substantially all of our taxable income, which does not necessarily equal net income as calculated in accordance with GAAP, to our stockholders each year to comply with the REIT provisions of the Code. Each class of common stock receives the same gross distribution per share. The net distribution varies for each class based on the applicable stockholder servicing fee, which is deducted from the monthly distribution per share.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aggregate distributions declared for each applicable class of common stock:</w:t>
      </w:r>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0.1029 </w:t>
            </w:r>
          </w:p>
        </w:tc>
        <w:tc>
          <w:tcPr>
            <w:tcW w:w="1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0.2058 </w:t>
            </w:r>
          </w:p>
        </w:tc>
        <w:tc>
          <w:tcPr>
            <w:tcW w:w="15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 The Company accrued stockholder servicing fees of $8.5 million and $6.3 million as of June 30, 2026 and December 31, 2025,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distributions paid on our shares of common stock ($ in thousands):</w:t>
      </w:r>
    </w:p>
    <w:tbl>
      <w:tblPr>
        <w:tblW w:w="10205" w:type="dxa"/>
        <w:jc w:val="left"/>
        <w:tblInd w:w="0" w:type="dxa"/>
        <w:tblLayout w:type="fixed"/>
        <w:tblCellMar>
          <w:top w:w="28" w:type="dxa"/>
          <w:left w:w="28" w:type="dxa"/>
          <w:bottom w:w="28" w:type="dxa"/>
          <w:right w:w="28" w:type="dxa"/>
        </w:tblCellMar>
      </w:tblPr>
      <w:tblGrid>
        <w:gridCol w:w="886"/>
        <w:gridCol w:w="779"/>
        <w:gridCol w:w="782"/>
        <w:gridCol w:w="109"/>
        <w:gridCol w:w="109"/>
        <w:gridCol w:w="109"/>
        <w:gridCol w:w="389"/>
        <w:gridCol w:w="1332"/>
        <w:gridCol w:w="201"/>
        <w:gridCol w:w="201"/>
        <w:gridCol w:w="201"/>
        <w:gridCol w:w="201"/>
        <w:gridCol w:w="350"/>
        <w:gridCol w:w="350"/>
        <w:gridCol w:w="351"/>
        <w:gridCol w:w="109"/>
        <w:gridCol w:w="109"/>
        <w:gridCol w:w="109"/>
        <w:gridCol w:w="405"/>
        <w:gridCol w:w="1183"/>
        <w:gridCol w:w="209"/>
        <w:gridCol w:w="209"/>
        <w:gridCol w:w="209"/>
        <w:gridCol w:w="209"/>
        <w:gridCol w:w="321"/>
        <w:gridCol w:w="321"/>
        <w:gridCol w:w="462"/>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15,931 </w:t>
            </w:r>
          </w:p>
        </w:tc>
        <w:tc>
          <w:tcPr>
            <w:tcW w:w="2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2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378"/>
        <w:gridCol w:w="1295"/>
        <w:gridCol w:w="195"/>
        <w:gridCol w:w="195"/>
        <w:gridCol w:w="195"/>
        <w:gridCol w:w="195"/>
        <w:gridCol w:w="350"/>
        <w:gridCol w:w="350"/>
        <w:gridCol w:w="351"/>
        <w:gridCol w:w="109"/>
        <w:gridCol w:w="109"/>
        <w:gridCol w:w="109"/>
        <w:gridCol w:w="374"/>
        <w:gridCol w:w="1280"/>
        <w:gridCol w:w="193"/>
        <w:gridCol w:w="193"/>
        <w:gridCol w:w="193"/>
        <w:gridCol w:w="193"/>
        <w:gridCol w:w="321"/>
        <w:gridCol w:w="321"/>
        <w:gridCol w:w="46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27,669 </w:t>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distributions paid on our common stock, during the three and six months ended June 30, 2026 and 2025, we paid $0.1 million, $0.6 million, $1.1 million and $2.1 million, respectively, for Mandatorily Redeemable Instruments.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Such amounts are recorded in Mandatorily Redeemable Instruments interest costs on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Net Asset Value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of directors, including a majority of our independent directors, has adopted valuation guidelines that contain a comprehensive set of methodologies to be used by the Adviser and our independent valuation advisor in connection with estimating the values of our assets and liabilities for purposes of our NAV calculation. The overarching principle of these guidelines is to produce a valuation that represents a fair and accurate estimate of the value of our investments or the price that would be received for our investments in an arm’s-length transaction between a willing buyer and a willing seller in possession of all material information about our investments. These valuation guidelines are largely based upon standard industry practices used by private, open-end real estate funds and other public, non-listed REITs, and are administered by the Adviser.</w:t>
      </w:r>
    </w:p>
    <w:p>
      <w:pPr>
        <w:pStyle w:val="TextBody"/>
        <w:bidi w:val="0"/>
        <w:spacing w:lineRule="auto" w:line="276" w:before="0" w:after="120"/>
        <w:jc w:val="left"/>
        <w:rPr/>
      </w:pPr>
      <w:r>
        <w:rPr>
          <w:rFonts w:ascii="Times New Roman;serif" w:hAnsi="Times New Roman;serif"/>
          <w:b w:val="false"/>
          <w:color w:val="000000"/>
          <w:sz w:val="20"/>
        </w:rPr>
        <w:t xml:space="preserve">As a public company, we are required to issue financial statements based on historical cost in accordance with GAAP, which are subject to an independent audit. To calculate our NAV for purposes of establishing a purchase and repurchase price for our shares, we have adopted a model, as explained below, that adjusts the value of our assets from historical cost to fair value in accordance with the GAAP principles set forth in FASB Accounting Standards Codification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However, our valuation procedures and our NAV are not subject to GAAP and are not subject to independent audit. Our NAV may differ from equity reflected on our audited financial statements, even if we are required to adopt a fair value basis of accounting for GAAP financial statement purposes in the future. Because these fair value calculations involve significant professional judgment in the application of both observable and unobservable attributes, the calculated fair value of our assets may differ from their actual realizable value or future fair value. While we believe our NAV calculation methodologies are consistent with standard industry practices, there is no rule or regulation that requires that we calculate NAV in a certain way. As a result, other public, non-listed REITs may use different methodologies or assumptions to determine NAV.</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valuation methods are used for purposes of calculating our NAV:</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Investments in real property are valued by our independent valuation advisor and independent third-party appraisal firms using the income approach’s discounted cash flow method. The discounted cash flow method takes into consideration contractual rent payments over the life of the lease term offset by any capitalized expenditures. Our independent valuation advisor and independent third-party appraisers may supplement the discounted cash flow analysis with a sales comparison approach and the income approach’s direct capitalization method, but typically reconcile exclusively to the discounted cash flow method.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 general, investments in real estate debt are valued by an independent debt valuation services firm using a variety of methods, including but not limited to, market quotations and/or discounted cash flow method. Our independent debt valuation services firm calculates the fair value of loans in accordance with GAAP and by considering all relevant calculations and scenarios that a market participant would consider in evaluating the financial instrument. Most loans held as an investment are valued by discounting debt service cash flows using a market yield.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Investments in real estate-related and other securities consists of investments in commercial mortgage-backed securities. We classify real estate-related and other securities as trading securities which the Adviser generally values on the basis of publicly available market quotations or at fair value determined in accordance with GAAP.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Interest rate swaps are valued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Treasury note futures contracts are valued based on quoted market prices for identical instruments.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Liabilities include the fees payable to the Adviser and the Dealer Manager, accounts payable, accrued operating expenses, property-level mortgages, the Repurchase Facility, any portfolio-level credit facilities and other liabilities, where applicable. Other than property-level mortgages and the Repurchase Facility, we include the cost basis of our liabilities as part of NAV, which approximates fair value. These carrying amounts are meant to reasonably approximate fair value due to the liquid and short-term nature of the instruments. We include as part of NAV the fair value of our property-level mortgages and Repurchase Facility, which are valued monthly by an independent valuation services firm. For most loans valued from the borrower’s perspective, our independent debt valuation services firm utilizes a discounted cash flow analysis in evaluating its fair value conclusions. Additional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inputs or adjustments to fair value conclusions may be applicable based on observations of market participant behavior.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the valuation guidelines, our fund administrator calculates our NAV per share for each class of our common stock as of the last calendar day of each month, using a process that reflects several components (each as described above), including the estimated fair value of (1) each of our properties based upon individual appraisal reports provided quarterly by third-party independent valuation firms or our independent valuation advisor, (2) our real estate-related assets for which third-party market quotes are available, (3) our other real estate-related assets, if any, and (4) our other assets and liabilities. The NAV per share for the share classes we are offering to the public may differ because stockholder servicing fees, management fees and the performance participation allocable to a specific class of shares are only included in the NAV calculation for that class.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At the end of each month, before taking into consideration additional issuances of shares of capital stock, share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on the first calendar day of such month. The NAV calculation is available generally within 15 calendar days after the end of the applicable month. Changes in our monthly NAV include accruals of our net portfolio income, interest expense, the management fee, any accrued performance participation, distributions, unrealized/realized gains and losses on assets, any applicable organization and offering costs and any expense reimbursements. Changes in our monthly NAV also include material non-recurring events, such as capital expenditures and material property acquisitions and dispositions occurring during the month. Notwithstanding anything herein to the contrary, the Adviser may in its discretion consider material market data and other information that becomes available after the end of the applicable month in valuing our assets and liabilities and calculating our NAV for a particular month. On an ongoing basis, the Adviser will adjust the accruals to reflect actual operating results and the outstanding receivable, payable and other account balances resulting from the accumulation of monthly accruals for which financial information is available.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Adviser advanced our organization and offering expenses on our behalf (other than upfront selling commissions, dealer manager fees and stockholder servicing fees) through July 22, 2024. On such date, we began reimbursing the Adviser for all such advanced costs ratably over a period that will continue until 60 months following such date. For purposes of calculating our NAV, the organization and offering expenses paid by the Adviser through July 22, 2024 will not be recognized as expenses, or as a component of equity and reflected in our NAV, until we reimburse the Adviser for these expenses. In addition, the operating expenses paid by the Adviser through April 30, 2026 will not be recognized as expenses and reflected in our NAV, until we reimburse the Adviser for these expenses.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the aggregation of the net asset values of our investments, the addition of any other assets (such as cash on hand) and the deduction of any other liabilities, our fund administrator incorporates any class-specific adjustments to our NAV, including additional issuances and repurchases of our common stock and accruals of class-specific stockholder servicing fees, management fees and any accrued performance participation. For each applicable class of shares, each of the stockholder servicing fee and the management fee is calculated as a percentage of the aggregate NAV for such class of shares. At the close of business on the record date for any declared distribution, our NAV for each class will be reduced to reflect the accrual of our liability to pay any distribution to our stockholders of record of such class. NAV per share for each class is calculated by dividing such class’s NAV at the end of each month by the number of shares outstanding for that class at the end of such month.</w:t>
      </w: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calculate NAV per share in accordance with the valuation guidelines that have been approved by our board of directors. We believe our NAV is a meaningful supplemental non-GAAP operating metric. The following table provides a breakdown of the major components of our NAV as of June 30, 2026 ($ and shares/units in thousands):</w:t>
      </w:r>
    </w:p>
    <w:tbl>
      <w:tblPr>
        <w:tblW w:w="6497" w:type="dxa"/>
        <w:jc w:val="left"/>
        <w:tblInd w:w="0" w:type="dxa"/>
        <w:tblLayout w:type="fixed"/>
        <w:tblCellMar>
          <w:top w:w="28" w:type="dxa"/>
          <w:left w:w="28" w:type="dxa"/>
          <w:bottom w:w="28" w:type="dxa"/>
          <w:right w:w="28" w:type="dxa"/>
        </w:tblCellMar>
      </w:tblPr>
      <w:tblGrid>
        <w:gridCol w:w="1748"/>
        <w:gridCol w:w="1538"/>
        <w:gridCol w:w="1543"/>
        <w:gridCol w:w="109"/>
        <w:gridCol w:w="109"/>
        <w:gridCol w:w="109"/>
        <w:gridCol w:w="211"/>
        <w:gridCol w:w="97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1,445,923 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(650,056)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99,227</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June 30, 2026, and the NAV attributable to current holders of Class D shares will not be included in the computation of stockholder servicing fees charged on Class D shares in perpetuity. As of June 30, 2026, we had accrued under GAAP stockholder servicing fees of $8.5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June 30, 2026 ($ and shares/units in thousands except per-share/unit data):</w:t>
      </w:r>
    </w:p>
    <w:tbl>
      <w:tblPr>
        <w:tblW w:w="7998" w:type="dxa"/>
        <w:jc w:val="left"/>
        <w:tblInd w:w="0" w:type="dxa"/>
        <w:tblLayout w:type="fixed"/>
        <w:tblCellMar>
          <w:top w:w="28" w:type="dxa"/>
          <w:left w:w="28" w:type="dxa"/>
          <w:bottom w:w="28" w:type="dxa"/>
          <w:right w:w="28" w:type="dxa"/>
        </w:tblCellMar>
      </w:tblPr>
      <w:tblGrid>
        <w:gridCol w:w="916"/>
        <w:gridCol w:w="807"/>
        <w:gridCol w:w="812"/>
        <w:gridCol w:w="109"/>
        <w:gridCol w:w="109"/>
        <w:gridCol w:w="109"/>
        <w:gridCol w:w="219"/>
        <w:gridCol w:w="1017"/>
        <w:gridCol w:w="113"/>
        <w:gridCol w:w="109"/>
        <w:gridCol w:w="109"/>
        <w:gridCol w:w="109"/>
        <w:gridCol w:w="694"/>
        <w:gridCol w:w="694"/>
        <w:gridCol w:w="696"/>
        <w:gridCol w:w="109"/>
        <w:gridCol w:w="109"/>
        <w:gridCol w:w="109"/>
        <w:gridCol w:w="226"/>
        <w:gridCol w:w="659"/>
        <w:gridCol w:w="16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Class/Unit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outstanding </w:t>
              <w:br/>
              <w:t>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 per</w:t>
              <w:br/>
              <w:t> share/unit</w:t>
            </w:r>
          </w:p>
        </w:tc>
      </w:tr>
      <w:tr>
        <w:trPr/>
        <w:tc>
          <w:tcPr>
            <w:tcW w:w="253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D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69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6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732,358 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X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Operating Partnership Units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99,227 </w:t>
            </w:r>
          </w:p>
        </w:tc>
        <w:tc>
          <w:tcPr>
            <w:tcW w:w="6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June 30, 2026 valuations, based on property types. Once we own more than one single-family rental or more than one office property, we will include the key assumptions for such property types.</w:t>
      </w:r>
    </w:p>
    <w:tbl>
      <w:tblPr>
        <w:tblW w:w="549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424"/>
        <w:gridCol w:w="424"/>
        <w:gridCol w:w="426"/>
        <w:gridCol w:w="109"/>
        <w:gridCol w:w="109"/>
        <w:gridCol w:w="109"/>
        <w:gridCol w:w="645"/>
        <w:gridCol w:w="645"/>
        <w:gridCol w:w="91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 Capitalization Rate</w:t>
            </w:r>
          </w:p>
        </w:tc>
      </w:tr>
      <w:tr>
        <w:trPr/>
        <w:tc>
          <w:tcPr>
            <w:tcW w:w="136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5.86%</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6.43%</w:t>
            </w:r>
          </w:p>
        </w:tc>
      </w:tr>
      <w:tr>
        <w:trPr/>
        <w:tc>
          <w:tcPr>
            <w:tcW w:w="13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6.63%</w:t>
            </w:r>
          </w:p>
        </w:tc>
      </w:tr>
    </w:tbl>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values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690"/>
        <w:gridCol w:w="551"/>
        <w:gridCol w:w="493"/>
        <w:gridCol w:w="109"/>
        <w:gridCol w:w="109"/>
        <w:gridCol w:w="109"/>
        <w:gridCol w:w="525"/>
        <w:gridCol w:w="525"/>
        <w:gridCol w:w="527"/>
        <w:gridCol w:w="109"/>
        <w:gridCol w:w="109"/>
        <w:gridCol w:w="109"/>
        <w:gridCol w:w="665"/>
        <w:gridCol w:w="665"/>
        <w:gridCol w:w="667"/>
        <w:gridCol w:w="109"/>
        <w:gridCol w:w="109"/>
        <w:gridCol w:w="109"/>
        <w:gridCol w:w="619"/>
        <w:gridCol w:w="619"/>
        <w:gridCol w:w="620"/>
        <w:gridCol w:w="109"/>
        <w:gridCol w:w="109"/>
        <w:gridCol w:w="109"/>
        <w:gridCol w:w="504"/>
        <w:gridCol w:w="504"/>
        <w:gridCol w:w="723"/>
      </w:tblGrid>
      <w:tr>
        <w:trPr/>
        <w:tc>
          <w:tcPr>
            <w:tcW w:w="6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 Investment Values</w:t>
            </w:r>
          </w:p>
        </w:tc>
      </w:tr>
      <w:tr>
        <w:trPr/>
        <w:tc>
          <w:tcPr>
            <w:tcW w:w="173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stockholders’ equity per our Condensed Consolidated Balance Sheets to our NAV as of June 30, 2026 ($ in thousands):</w:t>
      </w:r>
    </w:p>
    <w:tbl>
      <w:tblPr>
        <w:tblW w:w="6542" w:type="dxa"/>
        <w:jc w:val="left"/>
        <w:tblInd w:w="0" w:type="dxa"/>
        <w:tblLayout w:type="fixed"/>
        <w:tblCellMar>
          <w:top w:w="28" w:type="dxa"/>
          <w:left w:w="28" w:type="dxa"/>
          <w:bottom w:w="28" w:type="dxa"/>
          <w:right w:w="28" w:type="dxa"/>
        </w:tblCellMar>
      </w:tblPr>
      <w:tblGrid>
        <w:gridCol w:w="1765"/>
        <w:gridCol w:w="1551"/>
        <w:gridCol w:w="1558"/>
        <w:gridCol w:w="109"/>
        <w:gridCol w:w="109"/>
        <w:gridCol w:w="109"/>
        <w:gridCol w:w="211"/>
        <w:gridCol w:w="97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Stockholders’ Equity to NAV </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87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under GAAP</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962,113 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and Operating Partnership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963,065 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 offering costs and operating expenses</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real estate and borrowings appreciation, net</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depreciation and amortization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Straight-line rent receivable</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The Adviser advanced our organization and offering expenses on our behalf (other than upfront selling commissions and stockholder servicing fees) through July 22, 2024. On such date, we began reimbursing the Adviser for all such advanced costs ratably over a period that will continue until 60 months following such date. During the three months ended June 30, 2026, we reimbursed $0.4 million to the Adviser. In addition, the Adviser advanced on our behalf certain of our operating expenses through April 30, 2026. Starting May 1, 2026, we began reimbursing the Adviser for all such advanced expenses ratably over a period that will continue until 60 months following such date. Under GAAP, organization costs are expensed as incurred and offering costs are charged to equity as such amounts are incurred. For the purposes of calculating NAV, such costs will be recognized as a reduction to NAV as they are reimbursed ratably over the respective 60-month reimbursement periods.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Stockholder servicing fees only apply to Class D, Class S, Class T and Class Y shares. For purposes of NAV, we recognize the stockholder servicing fee as a reduction to our NAV on a monthly basis as such fee is paid. Under GAAP, we accrue the lifetime cost of the stockholder servicing fee as an offering cost at the time we sell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Our investments in real estate are presented at historical cost in our GAAP condensed consolidated financial statements. Additionally, our mortgage notes, Repurchase Facility and the Credit Facility (“Borrowings”) are presented at their carrying values in our condensed consolidated financial statements. As such, any changes in the fair market values of our investments in real estate or our Borrowings are not included in our GAAP results. For purposes of determining our NAV, our investments in real estate and our Borrowings are recorded at fair value.</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In accordance with GAAP, we depreciate our investments in real estate and amortize certain other assets and liabilities. Such depreciation and amortization is not recorded for purposes of determining our NAV.</w:t>
      </w:r>
    </w:p>
    <w:p>
      <w:pPr>
        <w:pStyle w:val="TextBody"/>
        <w:bidi w:val="0"/>
        <w:spacing w:lineRule="auto" w:line="276" w:before="0" w:after="20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We record straight-line rent in accordance with GAAP. Any resulting straight-line rent receivable or liability is excluded for purposes of determining our NAV.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accordance with GAAP involves significant judgments and assumptions and requires estimates about matters that are inherently uncertain. These judgments will affect our reported amounts of assets and liabilities and our disclosure of contingent assets and liabilities at the dates of the financial statements and the reported amounts of revenue and expenses during the reporting periods. With different estimates or assumptions, materially different amounts could be reported in our financial statements.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Purchase price allocation of acquired investments in real estate</w:t>
      </w:r>
    </w:p>
    <w:p>
      <w:pPr>
        <w:pStyle w:val="TextBody"/>
        <w:bidi w:val="0"/>
        <w:spacing w:lineRule="auto" w:line="276" w:before="0" w:after="120"/>
        <w:jc w:val="left"/>
        <w:rPr/>
      </w:pPr>
      <w:r>
        <w:rPr>
          <w:rFonts w:ascii="Times New Roman;serif" w:hAnsi="Times New Roman;serif"/>
          <w:b w:val="false"/>
          <w:color w:val="000000"/>
          <w:sz w:val="20"/>
        </w:rPr>
        <w:t xml:space="preserve">Upon the acquisition of a property, we assess the fair value of acquired tangible and intangible assets and liabilities (including land, buildings, tenant improvements, above-market and below-market leases, acquired in-place leases, other identified intangible assets and assumed liabilities) and allocate the purchase price to the acquired assets and assumed liabilities on a relative fair value basis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All expenses related to asset acquisitions are capitalized and allocated among the identified assets. Generally, the most significant portion of the allocation is to the building and land and requires the use of market-based estimates and assumptions.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assess and consider fair value based on estimated cash flow projections that utilize appropriate discount and/or capitalization rates, as well as other available market information. Estimates of future cash flows are based on a number of factors, including the historical operating results, known and anticipated trends, and market and economic conditions. The fair value of the tangible assets of an acquired property considers the value of the property as if it were vacant.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Acquired above-market and below-market leases are recorded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fixed-rate renewal options for below-market leases. Other intangible assets acquired include amounts for in place lease values that are based on our evaluation of the specific characteristics of each tenant’s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 A change in any of the assumptions above, which are subjective, could have a material impact on our results of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directly affects the following in our condensed consolidated financial statements: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amount of purchase price allocated to the various tangible and intangible assets and liabilities on our Condensed Consolidated Balance Sheets;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amounts allocated to above-market and below-market leases are amortized to rental income over the remaining non-cancelable terms of the respective leases. The amounts allocated to all other tangible and intangible assets are amortized to depreciation or amortization expense. Thus, depending on the amounts allocated between land and depreciable assets, changes in the purchase price allocation among our assets could have a material impact on our net income;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period of time over which tangible and intangible assets are depreciated varies greatly, and thus, changes in the amounts allocated to these assets will have a direct impact on our results of operations. Intangible assets are generally amortized over the respective lives of the leases. Also, we depreciate our buildings over a maximum of 40 years, but do not depreciate our land. These differences in timing could have a material impact on our results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real estate properties (including any related amortizable intangible assets or liabilities) for impairment each quarter or when there is an indicator, including, but not limited to, property operating performance, changes in anticipated holding period and general market conditions, that the value of the real estate properties may be impaired. Our estimate of the expected future cash flows in testing for impairment is subjective and based on, among other things, our estimates regarding future market conditions, rental rates, occupancy levels, costs of tenant improvements, assumptions regarding the residual value of our properties at the end of our anticipated holding period, discount rates, exit capitalization rates and the length of our anticipated holding period. In preparing the projection of undiscounted future cash flows, we estimate exit capitalization rates and market rental rates using information that we obtain from market comparability studies and other comparable sources and apply the undiscounted cash flows against our expected holding period. These assumptions could differ materially from actual results. If changes in our strategy or the market conditions result in a reduction in the holding period and an earlier sale date, an impairment loss could be recognized and such loss could be material. If impairment was indicated, the carrying value of the property would be written down to its estimated fair value based on our best estimate of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property's discounted future cash flows using market derived capitalization rates, discount rates and market rental rates applied against our expected hold period.</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evaluated our portfolio, as of June 30, 2026 and December 31, 2025, for impairment indicators. We did not record any impairment losses for the three and six months ended June 30, 2026 or year ended December 31, 2025.</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Mandatorily Redeemable Instruments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Mandatorily Redeemable Instruments as a liability on our Condensed Consolidated Balance Sheets at JPMIM’s cash redemption value. JPMIM’s cash redemption value is determined based on our NAV per Class E unit as of our balance sheet date. For purposes of determining our NAV, our investments in real estate are recorded at fair value based on independent third-party valuations prepared by licensed appraisers in accordance with standard industry practice or in the case of real estate-related and other securities using readily available actively quoted prices.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fair value estimates of our investments in real estate are particularly important as they are used for the calculation of NAV, which determines the adjustment to the carrying value of our Mandatorily Redeemable Instruments. Significant differences in the fair value of our Mandatorily Redeemable Instruments may result from changes in market conditions that cause our NAV, and thus JPMIM’s redemption value, to increase or decrease during the period which is recorded as a component of Mandatorily redeemable instruments interest costs on our Condensed Consolidated Statements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investments in real estate debt consist of investments in commercial mortgage loans. Our investments in real estate debt are carried at fair value as we elected the fair value option. Investments with readily available, actively quoted prices or for which fair value can be measured from actively quoted prices generally will have a higher degree of market price observability and a lesser degree of judgment used in measuring fair value.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real estate debt investments are unlikely to have readily available market quotations. As such, we determine fair value by utilizing or reviewing certain of the following (i) market yield data, (ii) discounted cash flow modeling, (iii) collateral asset performance, (iv) local or macro real estate performance, (v) capital market conditions, (vi) debt yield or loan-to-value ratios and (vii) borrower financial condition and performance. We classify these investments as Level 3 within the valuation hierarchy. Judgments used to determine the fair values of Level 3 instruments are more significant than those required when determining the fair value of instruments classified as Level 1 or 2 due to the inherent uncertainty of the estimates and judgments used. These values may differ materially from the values that would have been used had a ready market for these investments existed. External factors may cause those values and the values of those investments for which readily observable inputs exist, to increase or decrease over time, impacting the value of our investment which is recorded in income from investments in real estate debt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with respect to our variable-rate indebtedness, where an increase in interest rates would directly result in higher interest expense costs. We may seek to manage or mitigate our exposure to interest risk through interest rate protection agreements to fix or cap a portion of our variable rate debt. As of June 30, 2026, the outstanding principal balance of our variable rate indebtedness was $293.0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Certain of our mortgage loans and other indebtedness are variable rate and indexed to SOFR. For the three and six months ended June 30, 2026, a 10% increase in SOFR would have resulted in an increase in interest expense of $0.3 million and $0.5 million, respectively. We have executed interest rate swaps with an aggregate notional amount of $120.1 million as of June 30, 2026, to hedge the risk of increasing interest rates.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invested a portion of our portfolio in floating-rate investments in real estate debt and intend to invest in both fixed- and floating-rate real estate debt investments in the future. For floating-rate investments in real estate debt, our net income will increase or decrease depending on interest rate movements. For the three and six months ended June 30, 2026, a 10% decrease in the reference rate would have resulted in a decrease in interest income of $0.3 million and $0.6 million, respectively. Additionally, interest rate movement can impact the valuation of real estate debt depending on various aspects of the instrument, including the credit rating, duration and structure of the interest rate payments.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risk with respect to the tenants that occupy properties we own. To mitigate this risk, we undertake a credit evaluation of major tenants prior to making an investment. This analysis includes extensive due diligence of a </w:t>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potential tenant’s creditworthiness and business, as well as an assessment of the strategic importance of the property to the tenant’s core business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we are exposed to credit risk in the real estate-related debt investments that we make with respect to a borrower’s ability to make required interest and principal payments on scheduled due dates. We manage this risk by conducting a credit analysis prior to making an investment and by actively monitoring our portfolio and the underlying credit quality. In addition, we re-evaluate the credit risk inherent in our investments on a regular basis under fundamental considerations such as gross domestic product, unemployment, interest rates, retail sales, store closing/openings, corporate earnings, housing inventory, affordability and regional home price trends.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Finally, we may be exposed to counterparty credit risk under the terms of a derivative contract. If the fair value of a derivative contract is positive, the counterparty will owe us, which creates credit risk for us. If the fair value of a derivative contract is negative, we will owe the counterparty and, therefore, do not have credit risk. We will seek to minimize the credit risk in derivative instruments by entering into transactions with high-quality counterparties.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Real estate market value risk</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Real estate property values are subject to volatility and may be adversely affected by a number of factors, including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our “disclosure controls and procedures” (as defined in Rule 13a-15(e)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SEC rules and forms and (b) include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76" w:before="0" w:after="3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currently involved in any material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discussed in Part I, Item 1A, “Risk Factors” of our Annual Report on Form 10-K for the year ended December 31, 2025 (“2025 Form 10-K”). The risks described in our 2025 Form 10-K are not the only risks facing us. Additional risks and uncertainties not currently known to us or that we currently deem to be immaterial also may materially adversely affect our business, financial condition, and operating results. There have been no material changes to the risk factors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All sales of unregistered securities during the three months ended June 30, 2026 were previously disclosed.</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adopted a share repurchase plan, whereby on a monthly basis, stockholders may request that we repurchase all or any portion of their shares. We may choose to repurchase all, some or none of the shares that have been requested to be repurchased at the end of any particular month, in our discretion, subject to any limitations in the share repurchase plan. The total amount of aggregate repurchases of our shares is limited to 2% of the aggregate NAV per month (measured using the aggregate NAV attributable to stockholders as of the end of the immediately preceding month) and 5% of the aggregate NAV per calendar quarter (measured using the average aggregate NAV attributable to stockholders as of the end of the immediately preceding three months). Shares are repurchased at a price equal to the transaction price on the applicable repurchase date, subject to any early repurchase deduction. Shares that have not been outstanding for at least one year are repurchased at 98% of the transaction price. In the event we determine to repurchase some but not all of the shares submitted for repurchase during any month, shares submitted for repurchase during such month will be repurchased on a pro rata basis based on the amount requested after we have repurchased all shares for which repurchase was requested due to death or disability and other limited exceptions. All unsatisfied repurchase requests must be resubmitted after the start of the next month or quarter, or upon the recommencement of the share repurchase plan, as applicable. Due to the illiquid nature of investments in real estate, we may not have sufficient liquid resources to fund repurchase requests and have established limitations on the amount of funds we may use for repurchase during any calendar month and quarter. See Note 3 “— Share Repurchase Plan” to our 2025 Form 10-K for additional detail regarding our share repurchase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shares of our common stock in the following amounts, which represented all of the share repurchase requests received for the same period.</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236"/>
        <w:gridCol w:w="924"/>
        <w:gridCol w:w="122"/>
        <w:gridCol w:w="109"/>
        <w:gridCol w:w="109"/>
        <w:gridCol w:w="109"/>
        <w:gridCol w:w="458"/>
        <w:gridCol w:w="458"/>
        <w:gridCol w:w="460"/>
        <w:gridCol w:w="109"/>
        <w:gridCol w:w="109"/>
        <w:gridCol w:w="109"/>
        <w:gridCol w:w="247"/>
        <w:gridCol w:w="722"/>
        <w:gridCol w:w="127"/>
        <w:gridCol w:w="109"/>
        <w:gridCol w:w="109"/>
        <w:gridCol w:w="109"/>
        <w:gridCol w:w="330"/>
        <w:gridCol w:w="1294"/>
        <w:gridCol w:w="172"/>
        <w:gridCol w:w="109"/>
        <w:gridCol w:w="109"/>
        <w:gridCol w:w="109"/>
        <w:gridCol w:w="670"/>
        <w:gridCol w:w="670"/>
        <w:gridCol w:w="96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 of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Repurchases as a Percentage of NAV</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that May Yet be Repurchased Under the Publicly Announced Plans or Programs</w:t>
            </w:r>
          </w:p>
        </w:tc>
      </w:tr>
      <w:tr>
        <w:trPr/>
        <w:tc>
          <w:tcPr>
            <w:tcW w:w="71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64,820 </w:t>
            </w:r>
          </w:p>
        </w:tc>
        <w:tc>
          <w:tcPr>
            <w:tcW w:w="1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64,820 </w:t>
            </w:r>
          </w:p>
        </w:tc>
        <w:tc>
          <w:tcPr>
            <w:tcW w:w="1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98,634 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98,634 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aggregate NAV of shares repurchased under our share repurchase plan over aggregate NAV of all shares outstanding, in each case, based on the NAV as of the last calendar day of the prior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Fifth Amended and Restated Advisory Agreement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10, 2026, we, the Operating Partnership, and our Adviser entered into that certain Fifth Amended and Restated Advisory Agreement (the “Fifth A&amp;R Advisory Agreement”). The Fifth A&amp;R Advisory Agreement amends and restates the prior version of the agreement to make certain updates requested by a state securities examiner.</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Fourth Amended and Restated Limited Partnership Agreement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10, 2026, we, the Special Limited Partner, and the limited partners party thereto entered into that certain Fourth Amended and Restated Limited Partnership Agreement (the “Fourth A&amp;R Limited Partnership Agreement”). The Fourth A&amp;R Limited Partnership Agreement amends and restates the Third Amended and Restated Limited Partnership Agreement dated April 17, 2026 to make certain updates requested by a state securities examiner.</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None of our directors or executive officers adopted or terminated a Rule 10b5-1 trading arrangement or a non-Rule 10b5-1 trading arrangement (as defined in Item 408(c) of Regulation S-K) during the three months ended June 30, 2026.</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pursuant to the Company's distribution reinvestment plan, issued 131,306, 11,380 and 25,194 Class E, Class I, and Class Y shares of common stock at prices per share of $11.53, $10.61 and $11.31, respectively, to accredited investors for aggregate purchase prices of $1.51 million, $0.12 million and $0.28 million,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issued 48,163 and 83,311 Class E and Class Y shares of common stock at prices per share of $11.53 and $11.52, respectively, to accredited investors in private placements for aggregate purchase prices of $0.56 million and $0.96 million, respectively. The aggregate commissions paid in connection with the sale of Class Y shares were $0.02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747"/>
        <w:gridCol w:w="2596"/>
        <w:gridCol w:w="370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and Restatement of J.P. Morgan Real Estate Income Trust, Inc., dated June 2, 2022 (filed as Exhibit 3.1 to the Registrant’s Registration Statement on Form S-11 filed on June 14, 2022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Correction of Articles of Amendment and Restatement of J.P. Morgan Real Estate Income Trust, Inc., dated June 2, 2022 (filed as Exhibit 3.2 to the Registrant’s Registration Statement on Form S-11 filed on June 14, 2022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dated November 13, 2023 (filed as Exhibit 3.1 to the Registrant’s Current Report on Form 8-K filed on November 16, 2023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Supplementary, dated November 13, 2023 (filed as Exhibit 3.2 to the Registrant’s Current Report on Form 8-K filed on November 16, 2023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Articles of Amendment, dated November 13, 2023 (filed as Exhibit 3.3 to the Registrant’s Current Report on Form 8-K filed on November 16, 2023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Supplementary, dated April 16, 2024 (filed as Exhibit 3.1 to the Registrant’s Current Report on Form 8-K filed on April 22, 2024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Articles of Amendment, dated November 7, 2025 (filed as Exhibit 3.7 to the Registrant’s Quarterly Report on Form 10-Q filed on November 13, 2025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J.P. Morgan Real Estate Income Trust, Inc. (filed as Exhibit 3.3 to the Registrant’s Registration Statement on Form S-11 filed on June 14, 2022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Distribution Reinvestment Plan (filed as Exhibit 4.1 to Post-Effective Amendment No. 4 to the Registrant’s Registration Statement on Form S-11 filed on April 15, 2026 and incorporated herein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Amended and Restated Advisory Agreement by and among J.P. Morgan Real Estate Income Trust, Inc., J.P. Morgan REIT Operating Partnership, L.P. and J.P. Morgan Investment Management Inc., dated August 10, 2026.</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Amended and Restated Limited Partnership Agreement of J.P. Morgan REIT Operating Partnership, L.P., dated April 17, 2026.</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Limited Partnership Agreement of J.P. Morgan REIT Operating Partnership, L.P., dated August 10, 2026.</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Independent Director Compensation Policy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hyperlink w:anchor="i209b1be1c64943248ebf13e8a19c0bf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0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867" w:type="dxa"/>
        <w:jc w:val="left"/>
        <w:tblInd w:w="0" w:type="dxa"/>
        <w:tblLayout w:type="fixed"/>
        <w:tblCellMar>
          <w:top w:w="28" w:type="dxa"/>
          <w:left w:w="28" w:type="dxa"/>
          <w:bottom w:w="28" w:type="dxa"/>
          <w:right w:w="28" w:type="dxa"/>
        </w:tblCellMar>
      </w:tblPr>
      <w:tblGrid>
        <w:gridCol w:w="705"/>
        <w:gridCol w:w="621"/>
        <w:gridCol w:w="624"/>
        <w:gridCol w:w="591"/>
        <w:gridCol w:w="591"/>
        <w:gridCol w:w="591"/>
        <w:gridCol w:w="1504"/>
        <w:gridCol w:w="1504"/>
        <w:gridCol w:w="21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 of the Board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28449</Words>
  <Characters>155681</Characters>
  <CharactersWithSpaces>181488</CharactersWithSpaces>
  <Paragraphs>4802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