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76" w:before="0" w:after="0"/>
        <w:jc w:val="right"/>
        <w:rPr>
          <w:rFonts w:ascii="Times New Roman;serif" w:hAnsi="Times New Roman;serif"/>
          <w:b/>
          <w:color w:val="000000"/>
          <w:sz w:val="20"/>
        </w:rPr>
      </w:pPr>
      <w:r>
        <w:rPr>
          <w:rFonts w:ascii="Times New Roman;serif" w:hAnsi="Times New Roman;serif"/>
          <w:b/>
          <w:color w:val="000000"/>
          <w:sz w:val="20"/>
        </w:rPr>
        <w:t>Filed Pursuant to Rule 424(b)(3)</w:t>
      </w:r>
    </w:p>
    <w:p>
      <w:pPr>
        <w:pStyle w:val="TextBody"/>
        <w:bidi w:val="0"/>
        <w:spacing w:lineRule="auto" w:line="276" w:before="0" w:after="0"/>
        <w:jc w:val="right"/>
        <w:rPr>
          <w:rFonts w:ascii="Times New Roman;serif" w:hAnsi="Times New Roman;serif"/>
          <w:b/>
          <w:color w:val="000000"/>
          <w:sz w:val="20"/>
        </w:rPr>
      </w:pPr>
      <w:r>
        <w:rPr>
          <w:rFonts w:ascii="Times New Roman;serif" w:hAnsi="Times New Roman;serif"/>
          <w:b/>
          <w:color w:val="000000"/>
          <w:sz w:val="20"/>
        </w:rPr>
        <w:t>Registration No. 333-288565</w:t>
      </w:r>
    </w:p>
    <w:p>
      <w:pPr>
        <w:pStyle w:val="TextBody"/>
        <w:bidi w:val="0"/>
        <w:spacing w:lineRule="auto" w:line="276" w:before="240" w:after="283"/>
        <w:jc w:val="center"/>
        <w:rPr>
          <w:rFonts w:ascii="Times New Roman;serif" w:hAnsi="Times New Roman;serif"/>
          <w:b/>
          <w:color w:val="000000"/>
          <w:sz w:val="20"/>
        </w:rPr>
      </w:pPr>
      <w:r>
        <w:rPr>
          <w:rFonts w:ascii="Times New Roman;serif" w:hAnsi="Times New Roman;serif"/>
          <w:b/>
          <w:color w:val="000000"/>
          <w:sz w:val="20"/>
        </w:rPr>
        <w:t>J.P. MORGAN REAL ESTATE INCOME TRUST, INC.</w:t>
      </w:r>
    </w:p>
    <w:p>
      <w:pPr>
        <w:pStyle w:val="TextBody"/>
        <w:bidi w:val="0"/>
        <w:spacing w:lineRule="auto" w:line="276" w:before="0" w:after="0"/>
        <w:jc w:val="center"/>
        <w:rPr/>
      </w:pPr>
      <w:r>
        <w:rPr>
          <w:rFonts w:ascii="Times New Roman;serif" w:hAnsi="Times New Roman;serif"/>
          <w:b/>
          <w:color w:val="000000"/>
          <w:sz w:val="20"/>
        </w:rPr>
        <w:t>SUPPLEMENT NO. 7</w:t>
      </w:r>
      <w:r>
        <w:rPr>
          <w:color w:val="000000"/>
        </w:rPr>
        <w:t xml:space="preserve"> </w:t>
      </w:r>
      <w:r>
        <w:rPr>
          <w:rFonts w:ascii="Times New Roman;serif" w:hAnsi="Times New Roman;serif"/>
          <w:b/>
          <w:color w:val="000000"/>
          <w:sz w:val="20"/>
        </w:rPr>
        <w:t>DATED SEPTEMBER 15, 2026</w:t>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TO THE PROSPECTUS DATED APRIL 15, 2026</w:t>
      </w:r>
    </w:p>
    <w:p>
      <w:pPr>
        <w:pStyle w:val="TextBody"/>
        <w:bidi w:val="0"/>
        <w:spacing w:lineRule="auto" w:line="276" w:before="120" w:after="283"/>
        <w:jc w:val="left"/>
        <w:rPr>
          <w:rFonts w:ascii="Times New Roman;serif" w:hAnsi="Times New Roman;serif"/>
          <w:b w:val="false"/>
          <w:color w:val="000000"/>
          <w:sz w:val="20"/>
        </w:rPr>
      </w:pPr>
      <w:r>
        <w:rPr>
          <w:rFonts w:ascii="Times New Roman;serif" w:hAnsi="Times New Roman;serif"/>
          <w:b w:val="false"/>
          <w:color w:val="000000"/>
          <w:sz w:val="20"/>
        </w:rPr>
        <w:t>This prospectus supplement (this “Supplement”) is part of and should be read in conjunction with the prospectus of J.P. Morgan Real Estate Income Trust, Inc., dated April 15, 2026 (the “Prospectus”). Unless otherwise defined herein, capitalized terms used in this Supplement shall have the same meanings as in the Prospectus.</w:t>
      </w:r>
    </w:p>
    <w:p>
      <w:pPr>
        <w:pStyle w:val="TextBody"/>
        <w:bidi w:val="0"/>
        <w:spacing w:lineRule="auto" w:line="276" w:before="120" w:after="120"/>
        <w:jc w:val="left"/>
        <w:rPr>
          <w:rFonts w:ascii="Times New Roman;serif" w:hAnsi="Times New Roman;serif"/>
          <w:b w:val="false"/>
          <w:color w:val="000000"/>
          <w:sz w:val="20"/>
        </w:rPr>
      </w:pPr>
      <w:r>
        <w:rPr>
          <w:rFonts w:ascii="Times New Roman;serif" w:hAnsi="Times New Roman;serif"/>
          <w:b w:val="false"/>
          <w:color w:val="000000"/>
          <w:sz w:val="20"/>
        </w:rPr>
        <w:t>The purposes of this Supplement are as follows:</w:t>
      </w:r>
    </w:p>
    <w:p>
      <w:pPr>
        <w:pStyle w:val="TextBody"/>
        <w:bidi w:val="0"/>
        <w:spacing w:lineRule="auto" w:line="276" w:before="0" w:after="120"/>
        <w:ind w:left="0" w:right="0" w:hanging="360"/>
        <w:jc w:val="left"/>
        <w:rPr/>
      </w:pPr>
      <w:r>
        <w:rPr>
          <w:color w:val="000000"/>
        </w:rPr>
        <w:t>•</w:t>
      </w:r>
      <w:r>
        <w:rPr>
          <w:rFonts w:ascii="Times New Roman;serif" w:hAnsi="Times New Roman;serif"/>
          <w:b w:val="false"/>
          <w:color w:val="000000"/>
          <w:sz w:val="20"/>
        </w:rPr>
        <w:t>to disclose the acquisition of a two-building industrial campus;</w:t>
      </w:r>
    </w:p>
    <w:p>
      <w:pPr>
        <w:pStyle w:val="TextBody"/>
        <w:bidi w:val="0"/>
        <w:spacing w:lineRule="auto" w:line="276" w:before="0" w:after="120"/>
        <w:ind w:left="0" w:right="0" w:hanging="360"/>
        <w:jc w:val="left"/>
        <w:rPr/>
      </w:pPr>
      <w:r>
        <w:rPr>
          <w:color w:val="000000"/>
        </w:rPr>
        <w:t>•</w:t>
      </w:r>
      <w:r>
        <w:rPr>
          <w:rFonts w:ascii="Times New Roman;serif" w:hAnsi="Times New Roman;serif"/>
          <w:b w:val="false"/>
          <w:color w:val="000000"/>
          <w:sz w:val="20"/>
        </w:rPr>
        <w:t>to disclose the transaction price for each class of our common stock as of October 1, 2026;</w:t>
      </w:r>
    </w:p>
    <w:p>
      <w:pPr>
        <w:pStyle w:val="TextBody"/>
        <w:bidi w:val="0"/>
        <w:spacing w:lineRule="auto" w:line="276" w:before="0" w:after="120"/>
        <w:ind w:left="0" w:right="0" w:hanging="360"/>
        <w:jc w:val="left"/>
        <w:rPr/>
      </w:pPr>
      <w:r>
        <w:rPr>
          <w:color w:val="000000"/>
        </w:rPr>
        <w:t>•</w:t>
      </w:r>
      <w:r>
        <w:rPr>
          <w:rFonts w:ascii="Times New Roman;serif" w:hAnsi="Times New Roman;serif"/>
          <w:b w:val="false"/>
          <w:color w:val="000000"/>
          <w:sz w:val="20"/>
        </w:rPr>
        <w:t>to disclose the calculation of our August 31, 2026 net asset value (“NAV”) per share for each class of our common stock;</w:t>
      </w:r>
    </w:p>
    <w:p>
      <w:pPr>
        <w:pStyle w:val="TextBody"/>
        <w:bidi w:val="0"/>
        <w:spacing w:lineRule="auto" w:line="276" w:before="0" w:after="120"/>
        <w:ind w:left="0" w:right="0" w:hanging="360"/>
        <w:jc w:val="left"/>
        <w:rPr/>
      </w:pPr>
      <w:r>
        <w:rPr>
          <w:color w:val="000000"/>
        </w:rPr>
        <w:t>•</w:t>
      </w:r>
      <w:r>
        <w:rPr>
          <w:rFonts w:ascii="Times New Roman;serif" w:hAnsi="Times New Roman;serif"/>
          <w:b w:val="false"/>
          <w:color w:val="000000"/>
          <w:sz w:val="20"/>
        </w:rPr>
        <w:t>to provide an update on the status of our public offering; and</w:t>
      </w:r>
    </w:p>
    <w:p>
      <w:pPr>
        <w:pStyle w:val="TextBody"/>
        <w:bidi w:val="0"/>
        <w:spacing w:lineRule="auto" w:line="276" w:before="0" w:after="120"/>
        <w:ind w:left="0" w:right="0" w:hanging="360"/>
        <w:jc w:val="left"/>
        <w:rPr/>
      </w:pPr>
      <w:r>
        <w:rPr>
          <w:color w:val="000000"/>
        </w:rPr>
        <w:t>•</w:t>
      </w:r>
      <w:r>
        <w:rPr>
          <w:rFonts w:ascii="Times New Roman;serif" w:hAnsi="Times New Roman;serif"/>
          <w:b w:val="false"/>
          <w:color w:val="000000"/>
          <w:sz w:val="20"/>
        </w:rPr>
        <w:t>to disclose certain updates to our Prospectus.</w:t>
      </w:r>
    </w:p>
    <w:p>
      <w:pPr>
        <w:pStyle w:val="TextBody"/>
        <w:bidi w:val="0"/>
        <w:spacing w:lineRule="auto" w:line="276" w:before="80" w:after="120"/>
        <w:jc w:val="left"/>
        <w:rPr>
          <w:rFonts w:ascii="Times New Roman;serif" w:hAnsi="Times New Roman;serif"/>
          <w:b/>
          <w:color w:val="000000"/>
          <w:sz w:val="20"/>
        </w:rPr>
      </w:pPr>
      <w:r>
        <w:rPr>
          <w:rFonts w:ascii="Times New Roman;serif" w:hAnsi="Times New Roman;serif"/>
          <w:b/>
          <w:color w:val="000000"/>
          <w:sz w:val="20"/>
        </w:rPr>
        <w:t>Industrial Acquisition</w:t>
      </w:r>
    </w:p>
    <w:p>
      <w:pPr>
        <w:pStyle w:val="TextBody"/>
        <w:bidi w:val="0"/>
        <w:spacing w:lineRule="auto" w:line="276" w:before="0" w:after="120"/>
        <w:jc w:val="left"/>
        <w:rPr>
          <w:rFonts w:ascii="Times New Roman;serif" w:hAnsi="Times New Roman;serif"/>
          <w:b w:val="false"/>
          <w:color w:val="000000"/>
          <w:sz w:val="20"/>
        </w:rPr>
      </w:pPr>
      <w:r>
        <w:rPr>
          <w:rFonts w:ascii="Times New Roman;serif" w:hAnsi="Times New Roman;serif"/>
          <w:b w:val="false"/>
          <w:color w:val="000000"/>
          <w:sz w:val="20"/>
        </w:rPr>
        <w:t>On September 10, 2026, we acquired a 521,091 square foot, Class A, two-building industrial campus in the Los Angeles, California Metropolitan Statistical Area for $176.5 million, excluding closing costs.</w:t>
      </w:r>
    </w:p>
    <w:p>
      <w:pPr>
        <w:pStyle w:val="TextBody"/>
        <w:bidi w:val="0"/>
        <w:spacing w:lineRule="auto" w:line="276" w:before="200" w:after="120"/>
        <w:jc w:val="left"/>
        <w:rPr/>
      </w:pPr>
      <w:r>
        <w:rPr>
          <w:rFonts w:ascii="Times New Roman;serif" w:hAnsi="Times New Roman;serif"/>
          <w:b/>
          <w:color w:val="000000"/>
          <w:sz w:val="20"/>
        </w:rPr>
        <w:t>October 1, 2026</w:t>
      </w:r>
      <w:r>
        <w:rPr>
          <w:color w:val="000000"/>
        </w:rPr>
        <w:t xml:space="preserve"> </w:t>
      </w:r>
      <w:r>
        <w:rPr>
          <w:rFonts w:ascii="Times New Roman;serif" w:hAnsi="Times New Roman;serif"/>
          <w:b/>
          <w:color w:val="000000"/>
          <w:sz w:val="20"/>
        </w:rPr>
        <w:t>Transaction Price</w:t>
      </w:r>
    </w:p>
    <w:p>
      <w:pPr>
        <w:pStyle w:val="TextBody"/>
        <w:bidi w:val="0"/>
        <w:spacing w:lineRule="auto" w:line="276" w:before="0" w:after="120"/>
        <w:jc w:val="left"/>
        <w:rPr>
          <w:rFonts w:ascii="Times New Roman;serif" w:hAnsi="Times New Roman;serif"/>
          <w:b w:val="false"/>
          <w:color w:val="000000"/>
          <w:sz w:val="20"/>
        </w:rPr>
      </w:pPr>
      <w:r>
        <w:rPr>
          <w:rFonts w:ascii="Times New Roman;serif" w:hAnsi="Times New Roman;serif"/>
          <w:b w:val="false"/>
          <w:color w:val="000000"/>
          <w:sz w:val="20"/>
        </w:rPr>
        <w:t>The transaction price for each share class of our common stock sold in this offering for subscriptions accepted as of October 1, 2026 (and repurchases as of September 30, 2026) is as follows:</w:t>
      </w:r>
    </w:p>
    <w:tbl>
      <w:tblPr>
        <w:tblW w:w="2175" w:type="dxa"/>
        <w:jc w:val="center"/>
        <w:tblInd w:w="0" w:type="dxa"/>
        <w:tblLayout w:type="fixed"/>
        <w:tblCellMar>
          <w:top w:w="28" w:type="dxa"/>
          <w:left w:w="28" w:type="dxa"/>
          <w:bottom w:w="28" w:type="dxa"/>
          <w:right w:w="28" w:type="dxa"/>
        </w:tblCellMar>
      </w:tblPr>
      <w:tblGrid>
        <w:gridCol w:w="266"/>
        <w:gridCol w:w="234"/>
        <w:gridCol w:w="235"/>
        <w:gridCol w:w="309"/>
        <w:gridCol w:w="904"/>
        <w:gridCol w:w="227"/>
      </w:tblGrid>
      <w:tr>
        <w:trPr/>
        <w:tc>
          <w:tcPr>
            <w:tcW w:w="26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r>
      <w:tr>
        <w:trPr/>
        <w:tc>
          <w:tcPr>
            <w:tcW w:w="7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Transaction Price</w:t>
              <w:br/>
              <w:t>(per share)</w:t>
            </w:r>
          </w:p>
        </w:tc>
      </w:tr>
      <w:tr>
        <w:trPr/>
        <w:tc>
          <w:tcPr>
            <w:tcW w:w="73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Class D</w:t>
            </w:r>
          </w:p>
        </w:tc>
        <w:tc>
          <w:tcPr>
            <w:tcW w:w="309"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4"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10.56 </w:t>
            </w:r>
          </w:p>
        </w:tc>
        <w:tc>
          <w:tcPr>
            <w:tcW w:w="227"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Class I</w:t>
            </w:r>
          </w:p>
        </w:tc>
        <w:tc>
          <w:tcPr>
            <w:tcW w:w="30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10.61 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Class S</w:t>
            </w:r>
          </w:p>
        </w:tc>
        <w:tc>
          <w:tcPr>
            <w:tcW w:w="309"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4"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11.56 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Class T</w:t>
            </w:r>
          </w:p>
        </w:tc>
        <w:tc>
          <w:tcPr>
            <w:tcW w:w="30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11.51 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20" w:after="120"/>
        <w:jc w:val="left"/>
        <w:rPr>
          <w:rFonts w:ascii="Times New Roman;serif" w:hAnsi="Times New Roman;serif"/>
          <w:b w:val="false"/>
          <w:color w:val="000000"/>
          <w:sz w:val="20"/>
        </w:rPr>
      </w:pPr>
      <w:r>
        <w:rPr>
          <w:rFonts w:ascii="Times New Roman;serif" w:hAnsi="Times New Roman;serif"/>
          <w:b w:val="false"/>
          <w:color w:val="000000"/>
          <w:sz w:val="20"/>
        </w:rPr>
        <w:t>As of August 31, 2026, we had no outstanding Class S shares. As a result, the transaction price for our Class S shares is equal to the NAV per share for our Class E shares as of August 31, 2026. Class E, Class X and Class Y shares are not sold as a part of this offering. The purchase price of our common stock for each share class equals the transaction price of such class, plus applicable upfront selling commissions and dealer manager fees. The repurchase price for each share class equals the transaction price of such class.</w:t>
      </w:r>
    </w:p>
    <w:p>
      <w:pPr>
        <w:pStyle w:val="TextBody"/>
        <w:bidi w:val="0"/>
        <w:spacing w:lineRule="auto" w:line="276" w:before="80" w:after="120"/>
        <w:jc w:val="left"/>
        <w:rPr>
          <w:rFonts w:ascii="Times New Roman;serif" w:hAnsi="Times New Roman;serif"/>
          <w:b/>
          <w:color w:val="000000"/>
          <w:sz w:val="20"/>
        </w:rPr>
      </w:pPr>
      <w:r>
        <w:rPr>
          <w:rFonts w:ascii="Times New Roman;serif" w:hAnsi="Times New Roman;serif"/>
          <w:b/>
          <w:color w:val="000000"/>
          <w:sz w:val="20"/>
        </w:rPr>
        <w:t>August 31, 2026 NAV Per Share</w:t>
      </w:r>
    </w:p>
    <w:p>
      <w:pPr>
        <w:pStyle w:val="TextBody"/>
        <w:bidi w:val="0"/>
        <w:spacing w:lineRule="auto" w:line="276" w:before="0" w:after="320"/>
        <w:jc w:val="left"/>
        <w:rPr/>
      </w:pPr>
      <w:r>
        <w:rPr>
          <w:rFonts w:ascii="Times New Roman;serif" w:hAnsi="Times New Roman;serif"/>
          <w:b w:val="false"/>
          <w:color w:val="000000"/>
          <w:sz w:val="20"/>
        </w:rPr>
        <w:t xml:space="preserve">We calculate NAV per share in accordance with the valuation guidelines that have been approved by our board of directors. Our NAV per share, which is updated as of the last calendar day of each month, is posted on our website at </w:t>
      </w:r>
      <w:r>
        <w:rPr>
          <w:rFonts w:ascii="Times New Roman;serif" w:hAnsi="Times New Roman;serif"/>
          <w:b w:val="false"/>
          <w:i/>
          <w:color w:val="000000"/>
          <w:sz w:val="20"/>
        </w:rPr>
        <w:t xml:space="preserve">www.jpmreit.com. </w:t>
      </w:r>
      <w:r>
        <w:rPr>
          <w:rFonts w:ascii="Times New Roman;serif" w:hAnsi="Times New Roman;serif"/>
          <w:b w:val="false"/>
          <w:color w:val="000000"/>
          <w:sz w:val="20"/>
        </w:rPr>
        <w:t>Please refer to “Net Asset Value Calculation and Valuation Guidelines” in the Prospectus for how our NAV is determined. The Adviser is ultimately responsible for determining our NAV.</w:t>
      </w:r>
    </w:p>
    <w:p>
      <w:pPr>
        <w:pStyle w:val="TextBody"/>
        <w:bidi w:val="0"/>
        <w:spacing w:before="0" w:after="0"/>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46685"/>
                <wp:effectExtent l="0" t="0" r="0" b="0"/>
                <wp:wrapNone/>
                <wp:docPr id="1" name="Frame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720"/>
                              <w:jc w:val="center"/>
                              <w:rPr>
                                <w:rFonts w:ascii="Times New Roman;serif" w:hAnsi="Times New Roman;serif"/>
                                <w:b w:val="false"/>
                                <w:color w:val="000000"/>
                                <w:sz w:val="20"/>
                              </w:rPr>
                            </w:pPr>
                            <w:r>
                              <w:rPr>
                                <w:rFonts w:ascii="Times New Roman;serif" w:hAnsi="Times New Roman;serif"/>
                                <w:b w:val="false"/>
                                <w:color w:val="000000"/>
                                <w:sz w:val="20"/>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72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76" w:before="120" w:after="120"/>
        <w:jc w:val="left"/>
        <w:rPr>
          <w:rFonts w:ascii="Times New Roman;serif" w:hAnsi="Times New Roman;serif"/>
          <w:b w:val="false"/>
          <w:color w:val="000000"/>
          <w:sz w:val="20"/>
        </w:rPr>
      </w:pPr>
      <w:r>
        <w:rPr>
          <w:rFonts w:ascii="Times New Roman;serif" w:hAnsi="Times New Roman;serif"/>
          <w:b w:val="false"/>
          <w:color w:val="000000"/>
          <w:sz w:val="20"/>
        </w:rPr>
        <w:t>Our total NAV presented in the following tables includes the aggregate NAV of our common stock, as well as partnership interests of the Operating Partnership held by the Special Limited Partner. The following table provides a breakdown of the major components of our total NAV as of August 31, 2026 ($ and shares/units in thousands):</w:t>
      </w:r>
    </w:p>
    <w:tbl>
      <w:tblPr>
        <w:tblW w:w="6498" w:type="dxa"/>
        <w:jc w:val="left"/>
        <w:tblInd w:w="0" w:type="dxa"/>
        <w:tblLayout w:type="fixed"/>
        <w:tblCellMar>
          <w:top w:w="28" w:type="dxa"/>
          <w:left w:w="28" w:type="dxa"/>
          <w:bottom w:w="28" w:type="dxa"/>
          <w:right w:w="28" w:type="dxa"/>
        </w:tblCellMar>
      </w:tblPr>
      <w:tblGrid>
        <w:gridCol w:w="1751"/>
        <w:gridCol w:w="1537"/>
        <w:gridCol w:w="1542"/>
        <w:gridCol w:w="109"/>
        <w:gridCol w:w="109"/>
        <w:gridCol w:w="109"/>
        <w:gridCol w:w="211"/>
        <w:gridCol w:w="976"/>
        <w:gridCol w:w="154"/>
      </w:tblGrid>
      <w:tr>
        <w:trPr/>
        <w:tc>
          <w:tcPr>
            <w:tcW w:w="1751" w:type="dxa"/>
            <w:tcBorders/>
            <w:vAlign w:val="center"/>
          </w:tcPr>
          <w:p>
            <w:pPr>
              <w:pStyle w:val="TableContents"/>
              <w:bidi w:val="0"/>
              <w:spacing w:before="0" w:after="283"/>
              <w:jc w:val="left"/>
              <w:rPr>
                <w:sz w:val="4"/>
                <w:szCs w:val="4"/>
              </w:rPr>
            </w:pPr>
            <w:r>
              <w:rPr>
                <w:sz w:val="4"/>
                <w:szCs w:val="4"/>
              </w:rPr>
            </w:r>
          </w:p>
        </w:tc>
        <w:tc>
          <w:tcPr>
            <w:tcW w:w="1537" w:type="dxa"/>
            <w:tcBorders/>
            <w:vAlign w:val="center"/>
          </w:tcPr>
          <w:p>
            <w:pPr>
              <w:pStyle w:val="TableContents"/>
              <w:bidi w:val="0"/>
              <w:spacing w:before="0" w:after="283"/>
              <w:jc w:val="left"/>
              <w:rPr>
                <w:sz w:val="4"/>
                <w:szCs w:val="4"/>
              </w:rPr>
            </w:pPr>
            <w:r>
              <w:rPr>
                <w:sz w:val="4"/>
                <w:szCs w:val="4"/>
              </w:rPr>
            </w:r>
          </w:p>
        </w:tc>
        <w:tc>
          <w:tcPr>
            <w:tcW w:w="15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30" w:type="dxa"/>
            <w:gridSpan w:val="3"/>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Components of NAV</w:t>
            </w:r>
          </w:p>
        </w:tc>
        <w:tc>
          <w:tcPr>
            <w:tcW w:w="327" w:type="dxa"/>
            <w:gridSpan w:val="3"/>
            <w:tcBorders>
              <w:bottom w:val="single" w:sz="4" w:space="0" w:color="FFFFFF"/>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August 31, 2026</w:t>
            </w:r>
          </w:p>
        </w:tc>
      </w:tr>
      <w:tr>
        <w:trPr/>
        <w:tc>
          <w:tcPr>
            <w:tcW w:w="4830" w:type="dxa"/>
            <w:gridSpan w:val="3"/>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Investments in real estate</w:t>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1,558,911 </w:t>
            </w:r>
          </w:p>
        </w:tc>
        <w:tc>
          <w:tcPr>
            <w:tcW w:w="154"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Investments in real estate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358,599 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0"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Investments in real estate-related and other securities</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14,833 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199,106 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0"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7,099 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20,219 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0"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Debt obligations</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(968,868)</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(30,050)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0"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performance participation allocation</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Stockholder servicing fees payable the following month</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0"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Non-controlling interests in joint ventures</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(18,961)</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Asset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1,140,485 </w:t>
            </w:r>
          </w:p>
        </w:tc>
        <w:tc>
          <w:tcPr>
            <w:tcW w:w="154"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0"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Number of outstanding shares/units</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100,917 </w:t>
            </w:r>
          </w:p>
        </w:tc>
        <w:tc>
          <w:tcPr>
            <w:tcW w:w="154"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hanging="180"/>
        <w:jc w:val="left"/>
        <w:rPr/>
      </w:pPr>
      <w:r>
        <w:rPr>
          <w:rFonts w:ascii="Times New Roman;serif" w:hAnsi="Times New Roman;serif"/>
          <w:b w:val="false"/>
          <w:color w:val="000000"/>
          <w:sz w:val="13"/>
        </w:rPr>
        <w:t xml:space="preserve">(1) </w:t>
      </w:r>
      <w:r>
        <w:rPr>
          <w:rFonts w:ascii="Times New Roman;serif" w:hAnsi="Times New Roman;serif"/>
          <w:b w:val="false"/>
          <w:color w:val="000000"/>
          <w:sz w:val="20"/>
        </w:rPr>
        <w:t>Stockholder servicing fees only apply to Class T, Class S, Class D and Class Y shares. For purposes of NAV, we recognize the stockholder servicing fee as a reduction of NAV on a monthly basis as such fee is paid. Under accounting principles generally accepted in the United States of America (“GAAP”), we accrue the lifetime cost of the stockholder servicing fee as an offering cost at the time we sell Class T, Class S, Class D and Class Y shares. The stockholder servicing fee on Class D shares was waived as of August 31, 2026, and the NAV attributable to current holders of Class D shares will not be included in the computation of stockholder servicing fees charged on Class D shares in perpetuity. As of August 31, 2026, we had accrued under GAAP stockholder servicing fees of $8.6 million.</w:t>
      </w:r>
    </w:p>
    <w:p>
      <w:pPr>
        <w:pStyle w:val="TextBody"/>
        <w:bidi w:val="0"/>
        <w:spacing w:lineRule="auto" w:line="276" w:before="120" w:after="120"/>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a breakdown of our total NAV and NAV per share/unit by class as of August 31, 2026 ($ and shares/units in thousands, except per share/unit data):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8667" w:type="dxa"/>
        <w:jc w:val="left"/>
        <w:tblInd w:w="0" w:type="dxa"/>
        <w:tblLayout w:type="fixed"/>
        <w:tblCellMar>
          <w:top w:w="28" w:type="dxa"/>
          <w:left w:w="28" w:type="dxa"/>
          <w:bottom w:w="28" w:type="dxa"/>
          <w:right w:w="28" w:type="dxa"/>
        </w:tblCellMar>
      </w:tblPr>
      <w:tblGrid>
        <w:gridCol w:w="783"/>
        <w:gridCol w:w="686"/>
        <w:gridCol w:w="691"/>
        <w:gridCol w:w="109"/>
        <w:gridCol w:w="109"/>
        <w:gridCol w:w="109"/>
        <w:gridCol w:w="211"/>
        <w:gridCol w:w="976"/>
        <w:gridCol w:w="109"/>
        <w:gridCol w:w="109"/>
        <w:gridCol w:w="109"/>
        <w:gridCol w:w="109"/>
        <w:gridCol w:w="889"/>
        <w:gridCol w:w="889"/>
        <w:gridCol w:w="892"/>
        <w:gridCol w:w="109"/>
        <w:gridCol w:w="109"/>
        <w:gridCol w:w="109"/>
        <w:gridCol w:w="335"/>
        <w:gridCol w:w="980"/>
        <w:gridCol w:w="245"/>
      </w:tblGrid>
      <w:tr>
        <w:trPr/>
        <w:tc>
          <w:tcPr>
            <w:tcW w:w="783"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r>
      <w:tr>
        <w:trPr/>
        <w:tc>
          <w:tcPr>
            <w:tcW w:w="2160"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Share Class/Unit</w:t>
            </w:r>
          </w:p>
        </w:tc>
        <w:tc>
          <w:tcPr>
            <w:tcW w:w="327" w:type="dxa"/>
            <w:gridSpan w:val="3"/>
            <w:tcBorders>
              <w:bottom w:val="single" w:sz="4" w:space="0" w:color="FFFFFF"/>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Net asset value</w:t>
            </w:r>
          </w:p>
        </w:tc>
        <w:tc>
          <w:tcPr>
            <w:tcW w:w="327" w:type="dxa"/>
            <w:gridSpan w:val="3"/>
            <w:tcBorders>
              <w:bottom w:val="single" w:sz="4" w:space="0" w:color="FFFFFF"/>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Number of outstanding shares/units</w:t>
            </w:r>
          </w:p>
        </w:tc>
        <w:tc>
          <w:tcPr>
            <w:tcW w:w="327" w:type="dxa"/>
            <w:gridSpan w:val="3"/>
            <w:tcBorders>
              <w:bottom w:val="single" w:sz="4" w:space="0" w:color="FFFFFF"/>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NAV per share/unit</w:t>
            </w:r>
          </w:p>
        </w:tc>
      </w:tr>
      <w:tr>
        <w:trPr/>
        <w:tc>
          <w:tcPr>
            <w:tcW w:w="2160" w:type="dxa"/>
            <w:gridSpan w:val="3"/>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Class D Shares</w:t>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10,743 </w:t>
            </w:r>
          </w:p>
        </w:tc>
        <w:tc>
          <w:tcPr>
            <w:tcW w:w="109"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8" w:type="dxa"/>
            <w:gridSpan w:val="2"/>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1,017 </w:t>
            </w:r>
          </w:p>
        </w:tc>
        <w:tc>
          <w:tcPr>
            <w:tcW w:w="892"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0"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10.56 </w:t>
            </w:r>
          </w:p>
        </w:tc>
        <w:tc>
          <w:tcPr>
            <w:tcW w:w="245"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Class I Shares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250,302 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23,583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10.61 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Class S Shares</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8"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9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Class T Shares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11.51 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Class E Shares</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741,336 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8"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64,121 </w:t>
            </w:r>
          </w:p>
        </w:tc>
        <w:tc>
          <w:tcPr>
            <w:tcW w:w="89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11.56 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Class X Shares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Class Y Shares</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137,028 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12,104</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11.32 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val="false"/>
                <w:color w:val="000000"/>
                <w:sz w:val="16"/>
              </w:rPr>
              <w:t>Operating Partnership Units</w:t>
            </w:r>
            <w:r>
              <w:rPr>
                <w:rFonts w:ascii="Times New Roman;serif" w:hAnsi="Times New Roman;serif"/>
                <w:b w:val="false"/>
                <w:color w:val="000000"/>
                <w:sz w:val="1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11.56 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1,140,485 </w:t>
            </w:r>
          </w:p>
        </w:tc>
        <w:tc>
          <w:tcPr>
            <w:tcW w:w="109"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8" w:type="dxa"/>
            <w:gridSpan w:val="2"/>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100,917 </w:t>
            </w:r>
          </w:p>
        </w:tc>
        <w:tc>
          <w:tcPr>
            <w:tcW w:w="892"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hanging="180"/>
        <w:jc w:val="left"/>
        <w:rPr/>
      </w:pPr>
      <w:r>
        <w:rPr>
          <w:rFonts w:ascii="Times New Roman;serif" w:hAnsi="Times New Roman;serif"/>
          <w:b w:val="false"/>
          <w:color w:val="000000"/>
          <w:sz w:val="13"/>
        </w:rPr>
        <w:t>(1)</w:t>
      </w:r>
      <w:r>
        <w:rPr>
          <w:rFonts w:ascii="Times New Roman;serif" w:hAnsi="Times New Roman;serif"/>
          <w:b w:val="false"/>
          <w:color w:val="000000"/>
          <w:sz w:val="20"/>
        </w:rPr>
        <w:t>Class E units held by the Special Limited Partner.</w:t>
      </w:r>
    </w:p>
    <w:p>
      <w:pPr>
        <w:pStyle w:val="TextBody"/>
        <w:bidi w:val="0"/>
        <w:spacing w:lineRule="auto" w:line="276" w:before="120" w:after="120"/>
        <w:jc w:val="left"/>
        <w:rPr>
          <w:rFonts w:ascii="Times New Roman;serif" w:hAnsi="Times New Roman;serif"/>
          <w:b w:val="false"/>
          <w:color w:val="000000"/>
          <w:sz w:val="20"/>
        </w:rPr>
      </w:pPr>
      <w:r>
        <w:rPr>
          <w:rFonts w:ascii="Times New Roman;serif" w:hAnsi="Times New Roman;serif"/>
          <w:b w:val="false"/>
          <w:color w:val="000000"/>
          <w:sz w:val="20"/>
        </w:rPr>
        <w:t>Set forth below are the weighted averages of the key assumptions in the discounted cash flow methodology used in the August 31, 2026 valuations, based on property types. Once we value more than one single-family rental property or more than one office property, we will include the key assumptions for such property type.</w:t>
      </w:r>
    </w:p>
    <w:tbl>
      <w:tblPr>
        <w:tblW w:w="4892" w:type="dxa"/>
        <w:jc w:val="center"/>
        <w:tblInd w:w="0" w:type="dxa"/>
        <w:tblLayout w:type="fixed"/>
        <w:tblCellMar>
          <w:top w:w="28" w:type="dxa"/>
          <w:left w:w="28" w:type="dxa"/>
          <w:bottom w:w="28" w:type="dxa"/>
          <w:right w:w="28" w:type="dxa"/>
        </w:tblCellMar>
      </w:tblPr>
      <w:tblGrid>
        <w:gridCol w:w="429"/>
        <w:gridCol w:w="376"/>
        <w:gridCol w:w="379"/>
        <w:gridCol w:w="109"/>
        <w:gridCol w:w="109"/>
        <w:gridCol w:w="109"/>
        <w:gridCol w:w="255"/>
        <w:gridCol w:w="256"/>
        <w:gridCol w:w="624"/>
        <w:gridCol w:w="109"/>
        <w:gridCol w:w="109"/>
        <w:gridCol w:w="109"/>
        <w:gridCol w:w="391"/>
        <w:gridCol w:w="391"/>
        <w:gridCol w:w="1137"/>
      </w:tblGrid>
      <w:tr>
        <w:trPr/>
        <w:tc>
          <w:tcPr>
            <w:tcW w:w="429"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137" w:type="dxa"/>
            <w:tcBorders/>
            <w:vAlign w:val="center"/>
          </w:tcPr>
          <w:p>
            <w:pPr>
              <w:pStyle w:val="TableContents"/>
              <w:bidi w:val="0"/>
              <w:spacing w:before="0" w:after="283"/>
              <w:jc w:val="left"/>
              <w:rPr>
                <w:sz w:val="4"/>
                <w:szCs w:val="4"/>
              </w:rPr>
            </w:pPr>
            <w:r>
              <w:rPr>
                <w:sz w:val="4"/>
                <w:szCs w:val="4"/>
              </w:rPr>
            </w:r>
          </w:p>
        </w:tc>
      </w:tr>
      <w:tr>
        <w:trPr/>
        <w:tc>
          <w:tcPr>
            <w:tcW w:w="11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Property Type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Discount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Exit Capitalization Rate</w:t>
            </w:r>
          </w:p>
        </w:tc>
      </w:tr>
      <w:tr>
        <w:trPr/>
        <w:tc>
          <w:tcPr>
            <w:tcW w:w="1184" w:type="dxa"/>
            <w:gridSpan w:val="3"/>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Multifamily</w:t>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7.35 </w:t>
            </w:r>
          </w:p>
        </w:tc>
        <w:tc>
          <w:tcPr>
            <w:tcW w:w="624"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5.88 </w:t>
            </w:r>
          </w:p>
        </w:tc>
        <w:tc>
          <w:tcPr>
            <w:tcW w:w="1137"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1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Industrial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7.93 </w:t>
            </w:r>
          </w:p>
        </w:tc>
        <w:tc>
          <w:tcPr>
            <w:tcW w:w="62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6.43 </w:t>
            </w:r>
          </w:p>
        </w:tc>
        <w:tc>
          <w:tcPr>
            <w:tcW w:w="113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18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Retail</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7.52 </w:t>
            </w:r>
          </w:p>
        </w:tc>
        <w:tc>
          <w:tcPr>
            <w:tcW w:w="624"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6.63 </w:t>
            </w:r>
          </w:p>
        </w:tc>
        <w:tc>
          <w:tcPr>
            <w:tcW w:w="1137"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720"/>
                              <w:jc w:val="center"/>
                              <w:rPr>
                                <w:rFonts w:ascii="Times New Roman;serif" w:hAnsi="Times New Roman;serif"/>
                                <w:b w:val="false"/>
                                <w:color w:val="000000"/>
                                <w:sz w:val="20"/>
                              </w:rPr>
                            </w:pPr>
                            <w:r>
                              <w:rPr>
                                <w:rFonts w:ascii="Times New Roman;serif" w:hAnsi="Times New Roman;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72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76" w:before="120" w:after="120"/>
        <w:jc w:val="left"/>
        <w:rPr>
          <w:rFonts w:ascii="Times New Roman;serif" w:hAnsi="Times New Roman;serif"/>
          <w:b w:val="false"/>
          <w:color w:val="000000"/>
          <w:sz w:val="20"/>
        </w:rPr>
      </w:pPr>
      <w:r>
        <w:rPr>
          <w:rFonts w:ascii="Times New Roman;serif" w:hAnsi="Times New Roman;serif"/>
          <w:b w:val="false"/>
          <w:color w:val="000000"/>
          <w:sz w:val="20"/>
        </w:rPr>
        <w:t>These assumptions are determined by our independent valuation advisor and reviewed by the Adviser. A change in these assumptions would impact the calculation of the value of our property investments. For example, assuming all other factors remain unchanged, the changes listed below would result in the following effects on our investment values:</w:t>
      </w:r>
    </w:p>
    <w:tbl>
      <w:tblPr>
        <w:tblW w:w="10205" w:type="dxa"/>
        <w:jc w:val="left"/>
        <w:tblInd w:w="0" w:type="dxa"/>
        <w:tblLayout w:type="fixed"/>
        <w:tblCellMar>
          <w:top w:w="28" w:type="dxa"/>
          <w:left w:w="28" w:type="dxa"/>
          <w:bottom w:w="28" w:type="dxa"/>
          <w:right w:w="28" w:type="dxa"/>
        </w:tblCellMar>
      </w:tblPr>
      <w:tblGrid>
        <w:gridCol w:w="717"/>
        <w:gridCol w:w="600"/>
        <w:gridCol w:w="573"/>
        <w:gridCol w:w="109"/>
        <w:gridCol w:w="109"/>
        <w:gridCol w:w="109"/>
        <w:gridCol w:w="497"/>
        <w:gridCol w:w="497"/>
        <w:gridCol w:w="499"/>
        <w:gridCol w:w="109"/>
        <w:gridCol w:w="109"/>
        <w:gridCol w:w="109"/>
        <w:gridCol w:w="657"/>
        <w:gridCol w:w="657"/>
        <w:gridCol w:w="658"/>
        <w:gridCol w:w="109"/>
        <w:gridCol w:w="109"/>
        <w:gridCol w:w="109"/>
        <w:gridCol w:w="614"/>
        <w:gridCol w:w="614"/>
        <w:gridCol w:w="616"/>
        <w:gridCol w:w="109"/>
        <w:gridCol w:w="109"/>
        <w:gridCol w:w="109"/>
        <w:gridCol w:w="495"/>
        <w:gridCol w:w="495"/>
        <w:gridCol w:w="708"/>
      </w:tblGrid>
      <w:tr>
        <w:trPr/>
        <w:tc>
          <w:tcPr>
            <w:tcW w:w="717"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r>
      <w:tr>
        <w:trPr/>
        <w:tc>
          <w:tcPr>
            <w:tcW w:w="1890" w:type="dxa"/>
            <w:gridSpan w:val="3"/>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Input</w:t>
            </w:r>
          </w:p>
        </w:tc>
        <w:tc>
          <w:tcPr>
            <w:tcW w:w="327" w:type="dxa"/>
            <w:gridSpan w:val="3"/>
            <w:tcBorders>
              <w:bottom w:val="single" w:sz="4" w:space="0" w:color="FFFFFF"/>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93" w:type="dxa"/>
            <w:gridSpan w:val="3"/>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Hypothetical Change</w:t>
            </w:r>
          </w:p>
        </w:tc>
        <w:tc>
          <w:tcPr>
            <w:tcW w:w="327" w:type="dxa"/>
            <w:gridSpan w:val="3"/>
            <w:tcBorders>
              <w:bottom w:val="single" w:sz="4" w:space="0" w:color="FFFFFF"/>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72" w:type="dxa"/>
            <w:gridSpan w:val="3"/>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Multifamily Investment Values</w:t>
            </w:r>
          </w:p>
        </w:tc>
        <w:tc>
          <w:tcPr>
            <w:tcW w:w="327" w:type="dxa"/>
            <w:gridSpan w:val="3"/>
            <w:tcBorders>
              <w:bottom w:val="single" w:sz="4" w:space="0" w:color="FFFFFF"/>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Industrial Investment Values</w:t>
            </w:r>
          </w:p>
        </w:tc>
        <w:tc>
          <w:tcPr>
            <w:tcW w:w="327" w:type="dxa"/>
            <w:gridSpan w:val="3"/>
            <w:tcBorders>
              <w:bottom w:val="single" w:sz="4" w:space="0" w:color="FFFFFF"/>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98" w:type="dxa"/>
            <w:gridSpan w:val="3"/>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Retail Investment Values</w:t>
            </w:r>
          </w:p>
        </w:tc>
      </w:tr>
      <w:tr>
        <w:trPr/>
        <w:tc>
          <w:tcPr>
            <w:tcW w:w="1890" w:type="dxa"/>
            <w:gridSpan w:val="3"/>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Discount Rate</w:t>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3" w:type="dxa"/>
            <w:gridSpan w:val="3"/>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0.25% decrease</w:t>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2" w:type="dxa"/>
            <w:gridSpan w:val="3"/>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1.92%</w:t>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1.94%</w:t>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8" w:type="dxa"/>
            <w:gridSpan w:val="3"/>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2.00%</w:t>
            </w:r>
          </w:p>
        </w:tc>
      </w:tr>
      <w:tr>
        <w:trPr/>
        <w:tc>
          <w:tcPr>
            <w:tcW w:w="18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0.25% increase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(1.87)%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(1.85)%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(1.82)%</w:t>
            </w:r>
          </w:p>
        </w:tc>
      </w:tr>
      <w:tr>
        <w:trPr/>
        <w:tc>
          <w:tcPr>
            <w:tcW w:w="1890"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Exit Capitalization Rate</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3"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0.25% decrease</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2"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2.67%</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2.44%</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8"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2.28%</w:t>
            </w:r>
          </w:p>
        </w:tc>
      </w:tr>
      <w:tr>
        <w:trPr/>
        <w:tc>
          <w:tcPr>
            <w:tcW w:w="18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0.25% increase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(2.47)%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(2.09)%</w:t>
            </w:r>
          </w:p>
        </w:tc>
      </w:tr>
    </w:tbl>
    <w:p>
      <w:pPr>
        <w:pStyle w:val="TextBody"/>
        <w:bidi w:val="0"/>
        <w:spacing w:lineRule="auto" w:line="276" w:before="0" w:after="120"/>
        <w:jc w:val="left"/>
        <w:rPr>
          <w:rFonts w:ascii="Times New Roman;serif" w:hAnsi="Times New Roman;serif"/>
          <w:b/>
          <w:color w:val="000000"/>
          <w:sz w:val="20"/>
        </w:rPr>
      </w:pPr>
      <w:r>
        <w:rPr>
          <w:rFonts w:ascii="Times New Roman;serif" w:hAnsi="Times New Roman;serif"/>
          <w:b/>
          <w:color w:val="000000"/>
          <w:sz w:val="20"/>
        </w:rPr>
        <w:t>Status of Our Current Public Offering</w:t>
      </w:r>
    </w:p>
    <w:p>
      <w:pPr>
        <w:pStyle w:val="TextBody"/>
        <w:bidi w:val="0"/>
        <w:spacing w:lineRule="auto" w:line="276" w:before="0" w:after="120"/>
        <w:jc w:val="left"/>
        <w:rPr>
          <w:rFonts w:ascii="Times New Roman;serif" w:hAnsi="Times New Roman;serif"/>
          <w:b w:val="false"/>
          <w:color w:val="000000"/>
          <w:sz w:val="20"/>
        </w:rPr>
      </w:pPr>
      <w:r>
        <w:rPr>
          <w:rFonts w:ascii="Times New Roman;serif" w:hAnsi="Times New Roman;serif"/>
          <w:b w:val="false"/>
          <w:color w:val="000000"/>
          <w:sz w:val="20"/>
        </w:rPr>
        <w:t>On February 4, 2026, we commenced our second public offering, pursuant to which we are currently offering on a continuous basis up to $4.8 billion in shares of our common stock, consisting of up to $3.8 billion in shares in our primary offering and up to $1.0 billion in shares pursuant to our distribution reinvestment plan. As of the date hereof, we have issued and sold 14,790 Class D, 9,058,994 Class I and 24,620 Class T shares in the primary offering for total proceeds of approximately $96.5 million. We have issued 23,300 Class D, 279,179 Class I and 18 Class T shares for a total value of approximately $3.2 million pursuant to our distribution reinvestment plan. As of the date hereof, we have not sold any Class S shares in this offering. We intend to continue selling shares in the public offering on a monthly basis.</w:t>
      </w:r>
    </w:p>
    <w:p>
      <w:pPr>
        <w:pStyle w:val="TextBody"/>
        <w:bidi w:val="0"/>
        <w:spacing w:lineRule="auto" w:line="276" w:before="120" w:after="120"/>
        <w:jc w:val="left"/>
        <w:rPr>
          <w:rFonts w:ascii="Times New Roman;serif" w:hAnsi="Times New Roman;serif"/>
          <w:b/>
          <w:color w:val="000000"/>
          <w:sz w:val="20"/>
        </w:rPr>
      </w:pPr>
      <w:r>
        <w:rPr>
          <w:rFonts w:ascii="Times New Roman;serif" w:hAnsi="Times New Roman;serif"/>
          <w:b/>
          <w:color w:val="000000"/>
          <w:sz w:val="20"/>
        </w:rPr>
        <w:t>Updates to the Prospectus</w:t>
      </w:r>
    </w:p>
    <w:p>
      <w:pPr>
        <w:pStyle w:val="TextBody"/>
        <w:bidi w:val="0"/>
        <w:spacing w:lineRule="auto" w:line="276" w:before="0" w:after="120"/>
        <w:jc w:val="left"/>
        <w:rPr>
          <w:rFonts w:ascii="Times New Roman;serif" w:hAnsi="Times New Roman;serif"/>
          <w:b w:val="false"/>
          <w:i/>
          <w:color w:val="000000"/>
          <w:sz w:val="20"/>
        </w:rPr>
      </w:pPr>
      <w:r>
        <w:rPr>
          <w:rFonts w:ascii="Times New Roman;serif" w:hAnsi="Times New Roman;serif"/>
          <w:b w:val="false"/>
          <w:i/>
          <w:color w:val="000000"/>
          <w:sz w:val="20"/>
        </w:rPr>
        <w:t>The following disclosure is added to the “Experts” section of the Prospectus.</w:t>
      </w:r>
    </w:p>
    <w:p>
      <w:pPr>
        <w:pStyle w:val="TextBody"/>
        <w:bidi w:val="0"/>
        <w:spacing w:lineRule="auto" w:line="276" w:before="0" w:after="120"/>
        <w:jc w:val="left"/>
        <w:rPr>
          <w:rFonts w:ascii="Times New Roman;serif" w:hAnsi="Times New Roman;serif"/>
          <w:b w:val="false"/>
          <w:color w:val="000000"/>
          <w:sz w:val="20"/>
        </w:rPr>
      </w:pPr>
      <w:r>
        <w:rPr>
          <w:rFonts w:ascii="Times New Roman;serif" w:hAnsi="Times New Roman;serif"/>
          <w:b w:val="false"/>
          <w:color w:val="000000"/>
          <w:sz w:val="20"/>
        </w:rPr>
        <w:t>The estimated market values of our investments in real estate as of August 31, 2026 presented on page 2 of this Supplement under the section “August 31, 2026 NAV Per Share” have been prepared by SitusAMC Real Estate Valuation Services, LLC, an independent valuation firm, and are included in this Supplement given the authority of such firm as experts in property valuations and appraisals. SitusAMC Real Estate Valuation Services, LLC will not calculate or be responsible for our NAV per share for any class of our shares.</w:t>
      </w:r>
    </w:p>
    <w:p>
      <w:pPr>
        <w:pStyle w:val="TextBody"/>
        <w:bidi w:val="0"/>
        <w:spacing w:before="0" w:after="0"/>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72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72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1212</Words>
  <Characters>6179</Characters>
  <CharactersWithSpaces>7276</CharactersWithSpaces>
  <Paragraphs>161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