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Registration No. 333-288565</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3 DATED JUNE 11,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PROSPECTUS DATED APRIL 15, 2026</w:t>
      </w:r>
    </w:p>
    <w:p>
      <w:pPr>
        <w:spacing w:after="0" w:line="99" w:lineRule="exact"/>
        <w:rPr>
          <w:sz w:val="24"/>
          <w:szCs w:val="24"/>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purposes of this Supplement are as follows:</w:t>
      </w:r>
    </w:p>
    <w:p>
      <w:pPr>
        <w:spacing w:after="0" w:line="117" w:lineRule="exact"/>
        <w:rPr>
          <w:sz w:val="24"/>
          <w:szCs w:val="24"/>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transaction price for each class of our common stock as of July 1, 2026;</w:t>
      </w:r>
    </w:p>
    <w:p>
      <w:pPr>
        <w:spacing w:after="0" w:line="13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calculation of our May 31, 2026 net asset value (“NAV”) per share for each class of our common stock;</w:t>
      </w:r>
    </w:p>
    <w:p>
      <w:pPr>
        <w:spacing w:after="0" w:line="13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update on the status of our public offering; and</w:t>
      </w:r>
    </w:p>
    <w:p>
      <w:pPr>
        <w:spacing w:after="0" w:line="13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certain updates to our Prospectus.</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July 1, 2026 Transaction Price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for each share class of our common stock sold in this offering for subscriptions accepted as of July 1, 2026 (and repurchases as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30, 2026) is as follows:</w:t>
      </w:r>
    </w:p>
    <w:p>
      <w:pPr>
        <w:spacing w:after="0" w:line="8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9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Transaction Price</w:t>
            </w:r>
          </w:p>
        </w:tc>
      </w:tr>
      <w:tr>
        <w:trPr>
          <w:trHeight w:val="173"/>
        </w:trPr>
        <w:tc>
          <w:tcPr>
            <w:tcW w:w="35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D</w:t>
            </w:r>
          </w:p>
        </w:tc>
        <w:tc>
          <w:tcPr>
            <w:tcW w:w="36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Class I</w:t>
            </w:r>
          </w:p>
        </w:tc>
        <w:tc>
          <w:tcPr>
            <w:tcW w:w="3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S</w:t>
            </w:r>
          </w:p>
        </w:tc>
        <w:tc>
          <w:tcPr>
            <w:tcW w:w="36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11.52</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Class T</w:t>
            </w:r>
          </w:p>
        </w:tc>
        <w:tc>
          <w:tcPr>
            <w:tcW w:w="3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w:t>
            </w:r>
          </w:p>
        </w:tc>
      </w:tr>
    </w:tbl>
    <w:p>
      <w:pPr>
        <w:spacing w:after="0" w:line="71"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May 31, 2026, we had no outstanding Class T shares or Class S shares. As a result, the transaction price for our Class T shares and Class S shares is equal to the NAV per share for our Class E shares as of May 31, 2026. Class E, Class X and Class Y shares are not sold as a part of this offering. The purchase price of our common stock for each share class equals the transaction price of such class, plus applicable upfront selling commissions and dealer manager fees. The repurchase price for each share class equals the transaction price of such class.</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31, 2026 NAV Per Share</w:t>
      </w:r>
    </w:p>
    <w:p>
      <w:pPr>
        <w:spacing w:after="0" w:line="12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calculate NAV per share in accordance with the valuation guidelines that have been approved by our board of directors. Our NAV per share, which is updated as of the last calendar day of each month, is posted on our website at </w:t>
      </w:r>
      <w:r>
        <w:rPr>
          <w:rFonts w:ascii="Times New Roman" w:cs="Times New Roman" w:eastAsia="Times New Roman" w:hAnsi="Times New Roman"/>
          <w:sz w:val="18"/>
          <w:szCs w:val="18"/>
          <w:i w:val="1"/>
          <w:iCs w:val="1"/>
          <w:color w:val="auto"/>
        </w:rPr>
        <w:t>www.jpmreit.com.</w:t>
      </w:r>
      <w:r>
        <w:rPr>
          <w:rFonts w:ascii="Times New Roman" w:cs="Times New Roman" w:eastAsia="Times New Roman" w:hAnsi="Times New Roman"/>
          <w:sz w:val="18"/>
          <w:szCs w:val="18"/>
          <w:color w:val="auto"/>
        </w:rPr>
        <w:t xml:space="preserve"> Please refer to “Net Asset Value Calculation and Valuation Guidelines” in the Prospectus for how our NAV is determined. The Adviser is ultimately responsible for determining our NAV.</w:t>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total NAV presented in the following tables includes the aggregate NAV of our common stock, as well as partnership interests of the Operating Partnership held by the Special Limited Partner. The following table provides a breakdown of the major components of our total NAV as of May 31, 2026 ($ and shares/units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Components of NAV</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May 31, 2026</w:t>
            </w:r>
          </w:p>
        </w:tc>
        <w:tc>
          <w:tcPr>
            <w:tcW w:w="120" w:type="dxa"/>
            <w:vAlign w:val="bottom"/>
          </w:tcPr>
          <w:p>
            <w:pPr>
              <w:spacing w:after="0"/>
              <w:rPr>
                <w:sz w:val="15"/>
                <w:szCs w:val="15"/>
                <w:color w:val="auto"/>
              </w:rPr>
            </w:pPr>
          </w:p>
        </w:tc>
      </w:tr>
      <w:tr>
        <w:trPr>
          <w:trHeight w:val="210"/>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w:t>
            </w:r>
          </w:p>
        </w:tc>
        <w:tc>
          <w:tcPr>
            <w:tcW w:w="5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1,372,860</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304,583</w:t>
            </w:r>
          </w:p>
        </w:tc>
        <w:tc>
          <w:tcPr>
            <w:tcW w:w="120" w:type="dxa"/>
            <w:vAlign w:val="bottom"/>
          </w:tcPr>
          <w:p>
            <w:pPr>
              <w:spacing w:after="0"/>
              <w:rPr>
                <w:sz w:val="18"/>
                <w:szCs w:val="18"/>
                <w:color w:val="auto"/>
              </w:rPr>
            </w:pP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estate-related and other securities</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48,269</w:t>
            </w:r>
          </w:p>
        </w:tc>
        <w:tc>
          <w:tcPr>
            <w:tcW w:w="120" w:type="dxa"/>
            <w:vAlign w:val="bottom"/>
          </w:tcPr>
          <w:p>
            <w:pPr>
              <w:spacing w:after="0"/>
              <w:rPr>
                <w:sz w:val="18"/>
                <w:szCs w:val="18"/>
                <w:color w:val="auto"/>
              </w:rPr>
            </w:pP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20" w:type="dxa"/>
            <w:vAlign w:val="bottom"/>
          </w:tcPr>
          <w:p>
            <w:pPr>
              <w:spacing w:after="0"/>
              <w:rPr>
                <w:sz w:val="18"/>
                <w:szCs w:val="18"/>
                <w:color w:val="auto"/>
              </w:rPr>
            </w:pP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(596,269)</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(31,826)</w:t>
            </w: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Stockholder servicing fees payable the following month</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 in joint ventures</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(17,356)</w:t>
            </w:r>
          </w:p>
        </w:tc>
      </w:tr>
      <w:tr>
        <w:trPr>
          <w:trHeight w:val="20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1,110,851</w:t>
            </w:r>
          </w:p>
        </w:tc>
        <w:tc>
          <w:tcPr>
            <w:tcW w:w="120" w:type="dxa"/>
            <w:vAlign w:val="bottom"/>
          </w:tcPr>
          <w:p>
            <w:pPr>
              <w:spacing w:after="0"/>
              <w:rPr>
                <w:sz w:val="18"/>
                <w:szCs w:val="18"/>
                <w:color w:val="auto"/>
              </w:rPr>
            </w:pPr>
          </w:p>
        </w:tc>
      </w:tr>
      <w:tr>
        <w:trPr>
          <w:trHeight w:val="249"/>
        </w:trPr>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outstanding shares/units</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-328930</wp:posOffset>
            </wp:positionV>
            <wp:extent cx="10287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auto"/>
        <w:rPr>
          <w:sz w:val="20"/>
          <w:szCs w:val="20"/>
          <w:color w:val="auto"/>
        </w:rPr>
      </w:pPr>
      <w:r>
        <w:rPr>
          <w:rFonts w:ascii="Times New Roman" w:cs="Times New Roman" w:eastAsia="Times New Roman" w:hAnsi="Times New Roman"/>
          <w:sz w:val="9"/>
          <w:szCs w:val="9"/>
          <w:color w:val="auto"/>
        </w:rPr>
        <w:t>(1)</w:t>
      </w:r>
    </w:p>
    <w:p>
      <w:pPr>
        <w:ind w:left="460" w:right="40"/>
        <w:spacing w:after="0" w:line="252" w:lineRule="auto"/>
        <w:rPr>
          <w:sz w:val="20"/>
          <w:szCs w:val="20"/>
          <w:color w:val="auto"/>
        </w:rPr>
      </w:pPr>
      <w:r>
        <w:rPr>
          <w:rFonts w:ascii="Times New Roman" w:cs="Times New Roman" w:eastAsia="Times New Roman" w:hAnsi="Times New Roman"/>
          <w:sz w:val="18"/>
          <w:szCs w:val="18"/>
          <w:color w:val="auto"/>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May 31, 2026, and the NAV attributable to current holders of Class D shares will not be included in the computation of stockholder servicing fees charged on Class D shares in perpetuity. As of May 31, 2026, we had accrued under GAAP stockholder servicing fees of $8.2 million.</w:t>
      </w:r>
    </w:p>
    <w:p>
      <w:pPr>
        <w:spacing w:after="0" w:line="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share/unit by class as of May 31, 2026 ($ and shares/units in thousands, except per share/unit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Class/Unit</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 of outstanding shares/units</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NAV per share/unit</w:t>
            </w:r>
          </w:p>
        </w:tc>
        <w:tc>
          <w:tcPr>
            <w:tcW w:w="100" w:type="dxa"/>
            <w:vAlign w:val="bottom"/>
          </w:tcPr>
          <w:p>
            <w:pPr>
              <w:spacing w:after="0"/>
              <w:rPr>
                <w:sz w:val="15"/>
                <w:szCs w:val="15"/>
                <w:color w:val="auto"/>
              </w:rPr>
            </w:pPr>
          </w:p>
        </w:tc>
      </w:tr>
      <w:tr>
        <w:trPr>
          <w:trHeight w:val="210"/>
        </w:trPr>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Class D Shares</w:t>
            </w:r>
          </w:p>
        </w:tc>
        <w:tc>
          <w:tcPr>
            <w:tcW w:w="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I Shares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240,862</w:t>
            </w: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Class S Shares</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 Shares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Class E Shares</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730,133</w:t>
            </w:r>
          </w:p>
        </w:tc>
        <w:tc>
          <w:tcPr>
            <w:tcW w:w="2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X Shares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Class Y Shares</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Operating Partnership Units</w:t>
            </w:r>
            <w:r>
              <w:rPr>
                <w:rFonts w:ascii="Times New Roman" w:cs="Times New Roman" w:eastAsia="Times New Roman" w:hAnsi="Times New Roman"/>
                <w:sz w:val="19"/>
                <w:szCs w:val="19"/>
                <w:b w:val="1"/>
                <w:bCs w:val="1"/>
                <w:color w:val="auto"/>
                <w:w w:val="99"/>
                <w:vertAlign w:val="superscript"/>
              </w:rPr>
              <w:t>(1)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8"/>
                <w:szCs w:val="18"/>
                <w:color w:val="auto"/>
              </w:rPr>
            </w:pPr>
          </w:p>
        </w:tc>
        <w:tc>
          <w:tcPr>
            <w:tcW w:w="2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8"/>
                <w:szCs w:val="18"/>
                <w:color w:val="auto"/>
              </w:rPr>
            </w:pPr>
          </w:p>
        </w:tc>
      </w:tr>
      <w:tr>
        <w:trPr>
          <w:trHeight w:val="230"/>
        </w:trPr>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1,110,851</w:t>
            </w:r>
          </w:p>
        </w:tc>
        <w:tc>
          <w:tcPr>
            <w:tcW w:w="2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auto"/>
        <w:rPr>
          <w:sz w:val="20"/>
          <w:szCs w:val="20"/>
          <w:color w:val="auto"/>
        </w:rPr>
      </w:pPr>
      <w:r>
        <w:rPr>
          <w:rFonts w:ascii="Times New Roman" w:cs="Times New Roman" w:eastAsia="Times New Roman" w:hAnsi="Times New Roman"/>
          <w:sz w:val="9"/>
          <w:szCs w:val="9"/>
          <w:color w:val="auto"/>
        </w:rPr>
        <w:t>(1)</w:t>
      </w:r>
    </w:p>
    <w:p>
      <w:pPr>
        <w:ind w:left="460"/>
        <w:spacing w:after="0"/>
        <w:rPr>
          <w:sz w:val="20"/>
          <w:szCs w:val="20"/>
          <w:color w:val="auto"/>
        </w:rPr>
      </w:pPr>
      <w:r>
        <w:rPr>
          <w:rFonts w:ascii="Times New Roman" w:cs="Times New Roman" w:eastAsia="Times New Roman" w:hAnsi="Times New Roman"/>
          <w:sz w:val="18"/>
          <w:szCs w:val="18"/>
          <w:color w:val="auto"/>
        </w:rPr>
        <w:t>Class E units held by the Special Limited Partner.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Set forth below are the weighted averages of the key assumptions in the discounted cash flow methodology used in the May 31, 2026 valuations, based on property types. Once we value more than one single-family rental property, we will include the key assumptions for such property type.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20" w:type="dxa"/>
            <w:vAlign w:val="bottom"/>
          </w:tcPr>
          <w:p>
            <w:pPr>
              <w:spacing w:after="0"/>
              <w:rPr>
                <w:sz w:val="15"/>
                <w:szCs w:val="15"/>
                <w:color w:val="auto"/>
              </w:rPr>
            </w:pP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300" w:type="dxa"/>
            <w:vAlign w:val="bottom"/>
          </w:tcPr>
          <w:p>
            <w:pPr>
              <w:spacing w:after="0"/>
              <w:rPr>
                <w:sz w:val="15"/>
                <w:szCs w:val="15"/>
                <w:color w:val="auto"/>
              </w:rPr>
            </w:pPr>
          </w:p>
        </w:tc>
        <w:tc>
          <w:tcPr>
            <w:tcW w:w="2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Exit Capitalization Rate</w:t>
            </w:r>
          </w:p>
        </w:tc>
        <w:tc>
          <w:tcPr>
            <w:tcW w:w="180" w:type="dxa"/>
            <w:vAlign w:val="bottom"/>
          </w:tcPr>
          <w:p>
            <w:pPr>
              <w:spacing w:after="0"/>
              <w:rPr>
                <w:sz w:val="15"/>
                <w:szCs w:val="15"/>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3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3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7.64%</w:t>
            </w:r>
          </w:p>
        </w:tc>
        <w:tc>
          <w:tcPr>
            <w:tcW w:w="3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r>
    </w:tbl>
    <w:p>
      <w:pPr>
        <w:spacing w:after="0" w:line="9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These assumptions are determined by our independent valuation advisor and reviewed by the Adviser. A change in these assumptions would impact the calculation of the value of our property investments. For example, assuming all other factors remain unchanged, the changes listed below would result in the following effects on our investment values: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 Change</w:t>
            </w:r>
          </w:p>
        </w:tc>
        <w:tc>
          <w:tcPr>
            <w:tcW w:w="180" w:type="dxa"/>
            <w:vAlign w:val="bottom"/>
          </w:tcPr>
          <w:p>
            <w:pPr>
              <w:spacing w:after="0"/>
              <w:rPr>
                <w:sz w:val="13"/>
                <w:szCs w:val="13"/>
                <w:color w:val="auto"/>
              </w:rPr>
            </w:pPr>
          </w:p>
        </w:tc>
        <w:tc>
          <w:tcPr>
            <w:tcW w:w="13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60" w:type="dxa"/>
            <w:vAlign w:val="bottom"/>
          </w:tcPr>
          <w:p>
            <w:pPr>
              <w:spacing w:after="0"/>
              <w:rPr>
                <w:sz w:val="13"/>
                <w:szCs w:val="13"/>
                <w:color w:val="auto"/>
              </w:rPr>
            </w:pPr>
          </w:p>
        </w:tc>
        <w:tc>
          <w:tcPr>
            <w:tcW w:w="13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Retail Investment</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Investment Values</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Investment Values</w:t>
            </w: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0.25% decrease</w:t>
            </w:r>
          </w:p>
        </w:tc>
        <w:tc>
          <w:tcPr>
            <w:tcW w:w="15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1.89%</w:t>
            </w:r>
          </w:p>
        </w:tc>
        <w:tc>
          <w:tcPr>
            <w:tcW w:w="15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1.84%</w:t>
            </w:r>
          </w:p>
        </w:tc>
        <w:tc>
          <w:tcPr>
            <w:tcW w:w="12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0.25% increase</w:t>
            </w:r>
          </w:p>
        </w:tc>
        <w:tc>
          <w:tcPr>
            <w:tcW w:w="1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(1.91)%</w:t>
            </w:r>
          </w:p>
        </w:tc>
        <w:tc>
          <w:tcPr>
            <w:tcW w:w="15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(1.90)%</w:t>
            </w:r>
          </w:p>
        </w:tc>
        <w:tc>
          <w:tcPr>
            <w:tcW w:w="12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Exit Capitalization Rate</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0.25% decrease</w:t>
            </w:r>
          </w:p>
        </w:tc>
        <w:tc>
          <w:tcPr>
            <w:tcW w:w="15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2.69%</w:t>
            </w:r>
          </w:p>
        </w:tc>
        <w:tc>
          <w:tcPr>
            <w:tcW w:w="15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2.39%</w:t>
            </w:r>
          </w:p>
        </w:tc>
        <w:tc>
          <w:tcPr>
            <w:tcW w:w="12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0.25% increase</w:t>
            </w:r>
          </w:p>
        </w:tc>
        <w:tc>
          <w:tcPr>
            <w:tcW w:w="1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(2.55)%</w:t>
            </w:r>
          </w:p>
        </w:tc>
        <w:tc>
          <w:tcPr>
            <w:tcW w:w="15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(2.30)%</w:t>
            </w:r>
          </w:p>
        </w:tc>
        <w:tc>
          <w:tcPr>
            <w:tcW w:w="12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Our Current Public Offering</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February 4, 2026, we commenced our second public offering, pursuant to which we are currently offering on a continuous basis up to $4.8 billion in shares of our common stock, consisting of up to $3.8 billion in shares in our primary offering and up to $1.0 billion in shares pursuant to our distribution reinvestment plan. As of the date hereof, we have issued and sold 11,312 Class D, 8,389,876 Class I and 1,974 Class T shares in the primary offering for total proceeds of approximately $89.1 million. We have issued 13,236 Class D and 129,207 Class I shares for a total value of approximately $1.5 million pursuant to our distribution reinvestment plan. As of the date hereof, we have not sold any Class S shares in this offering. We intend to continue selling shares in the public offering on a monthly basis.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Updates to the Prospectus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disclosure is added to the “Experts” section of the Prospectus.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estimated market values of our investments in real estate as of May 31, 2026 presented on page 2 of this Supplement under the section “May 31, 2026 NAV Per Share” have been prepared by SitusAMC Real Estate Valuation Services, LLC, an independent valuation firm, and are included in this Supplement given the authority of such firm as experts in property valuations and appraisals. SitusAMC Real Estate Valuation Services, LLC will not calculate or be responsible for our NAV per share for any class of our shares.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2026-06-11T10:45:02Z</dcterms:created>
  <dcterms:modified xsi:type="dcterms:W3CDTF">2026-06-11T10:45:02Z</dcterms:modified>
</cp:coreProperties>
</file>