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Registration No. 333-288565</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pPr>
      <w:r>
        <w:rPr>
          <w:rFonts w:ascii="Times New Roman;serif" w:hAnsi="Times New Roman;serif"/>
          <w:b/>
          <w:color w:val="000000"/>
          <w:sz w:val="20"/>
        </w:rPr>
        <w:t>SUPPLEMENT NO. 8</w:t>
      </w:r>
      <w:r>
        <w:rPr>
          <w:color w:val="000000"/>
        </w:rPr>
        <w:t xml:space="preserve"> </w:t>
      </w:r>
      <w:r>
        <w:rPr>
          <w:rFonts w:ascii="Times New Roman;serif" w:hAnsi="Times New Roman;serif"/>
          <w:b/>
          <w:color w:val="000000"/>
          <w:sz w:val="20"/>
        </w:rPr>
        <w:t>DATED OCTOBER 14, 2026</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TO THE PROSPECTUS DATED APRIL 15, 2026</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This prospectus supplement (this “Supplement”) is part of and should be read in conjunction with the prospectus of J.P. Morgan Real Estate Income Trust, Inc., dated April 15, 2026 (the “Prospectus”). Unless otherwise defined herein, capitalized terms used in this Supplement shall have the same meanings as in the Prospectus.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purposes of this Supplement are as follows:</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disclose the acquisition of a retail property;</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disclose the transaction price for each class of our common stock as of November 1, 2026;</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disclose the calculation of our September 30, 2026 net asset value (“NAV”) per share for each class of our common stock;</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provide an update on the status of our public offering; and</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disclose certain updates to our Prospectus.</w:t>
      </w:r>
    </w:p>
    <w:p>
      <w:pPr>
        <w:pStyle w:val="TextBody"/>
        <w:bidi w:val="0"/>
        <w:spacing w:lineRule="auto" w:line="276" w:before="80" w:after="120"/>
        <w:jc w:val="left"/>
        <w:rPr>
          <w:rFonts w:ascii="Times New Roman;serif" w:hAnsi="Times New Roman;serif"/>
          <w:b/>
          <w:color w:val="000000"/>
          <w:sz w:val="20"/>
        </w:rPr>
      </w:pPr>
      <w:r>
        <w:rPr>
          <w:rFonts w:ascii="Times New Roman;serif" w:hAnsi="Times New Roman;serif"/>
          <w:b/>
          <w:color w:val="000000"/>
          <w:sz w:val="20"/>
        </w:rPr>
        <w:t>Retail Acquisition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5, 2026, we acquired a 257,779 square foot grocery-anchored neighborhood retail center in the Philadelphia, Pennsylvania Metropolitan Statistical Area for $60.0 million, excluding closing costs.</w:t>
      </w:r>
    </w:p>
    <w:p>
      <w:pPr>
        <w:pStyle w:val="TextBody"/>
        <w:bidi w:val="0"/>
        <w:spacing w:lineRule="auto" w:line="276" w:before="200" w:after="120"/>
        <w:jc w:val="left"/>
        <w:rPr/>
      </w:pPr>
      <w:r>
        <w:rPr>
          <w:rFonts w:ascii="Times New Roman;serif" w:hAnsi="Times New Roman;serif"/>
          <w:b/>
          <w:color w:val="000000"/>
          <w:sz w:val="20"/>
        </w:rPr>
        <w:t>November 1, 2026</w:t>
      </w:r>
      <w:r>
        <w:rPr>
          <w:color w:val="000000"/>
        </w:rPr>
        <w:t xml:space="preserve"> </w:t>
      </w:r>
      <w:r>
        <w:rPr>
          <w:rFonts w:ascii="Times New Roman;serif" w:hAnsi="Times New Roman;serif"/>
          <w:b/>
          <w:color w:val="000000"/>
          <w:sz w:val="20"/>
        </w:rPr>
        <w:t>Transaction Price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transaction price for each share class of our common stock sold in this offering for subscriptions accepted as of November 1, 2026 (and repurchases as of October 31, 2026) is as follows:</w:t>
      </w:r>
    </w:p>
    <w:tbl>
      <w:tblPr>
        <w:tblW w:w="2175" w:type="dxa"/>
        <w:jc w:val="center"/>
        <w:tblInd w:w="0" w:type="dxa"/>
        <w:tblLayout w:type="fixed"/>
        <w:tblCellMar>
          <w:top w:w="28" w:type="dxa"/>
          <w:left w:w="28" w:type="dxa"/>
          <w:bottom w:w="28" w:type="dxa"/>
          <w:right w:w="28" w:type="dxa"/>
        </w:tblCellMar>
      </w:tblPr>
      <w:tblGrid>
        <w:gridCol w:w="266"/>
        <w:gridCol w:w="234"/>
        <w:gridCol w:w="235"/>
        <w:gridCol w:w="309"/>
        <w:gridCol w:w="904"/>
        <w:gridCol w:w="22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Transaction Price</w:t>
              <w:br/>
              <w:t>(per share)</w:t>
            </w:r>
          </w:p>
        </w:tc>
      </w:tr>
      <w:tr>
        <w:trPr/>
        <w:tc>
          <w:tcPr>
            <w:tcW w:w="7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D</w:t>
            </w:r>
          </w:p>
        </w:tc>
        <w:tc>
          <w:tcPr>
            <w:tcW w:w="30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2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I</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30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T</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As of September 30, 2026, we had no outstanding Class S shares. As a result, the transaction price for our Class S shares is equal to the NAV per share for our Class E shares as of September 30, 2026. Class E, Class X and Class Y shares are not sold as a part of this offering. The purchase price of our common stock for each share class equals the transaction price of such class, plus applicable upfront selling commissions and dealer manager fees. The repurchase price for each share class equals the transaction price of such class.</w:t>
      </w:r>
    </w:p>
    <w:p>
      <w:pPr>
        <w:pStyle w:val="TextBody"/>
        <w:bidi w:val="0"/>
        <w:spacing w:lineRule="auto" w:line="276" w:before="80" w:after="120"/>
        <w:jc w:val="left"/>
        <w:rPr>
          <w:rFonts w:ascii="Times New Roman;serif" w:hAnsi="Times New Roman;serif"/>
          <w:b/>
          <w:color w:val="000000"/>
          <w:sz w:val="20"/>
        </w:rPr>
      </w:pPr>
      <w:r>
        <w:rPr>
          <w:rFonts w:ascii="Times New Roman;serif" w:hAnsi="Times New Roman;serif"/>
          <w:b/>
          <w:color w:val="000000"/>
          <w:sz w:val="20"/>
        </w:rPr>
        <w:t>September 30, 2026 NAV Per Share</w:t>
      </w:r>
    </w:p>
    <w:p>
      <w:pPr>
        <w:pStyle w:val="TextBody"/>
        <w:bidi w:val="0"/>
        <w:spacing w:lineRule="auto" w:line="276" w:before="0" w:after="320"/>
        <w:jc w:val="left"/>
        <w:rPr/>
      </w:pPr>
      <w:r>
        <w:rPr>
          <w:rFonts w:ascii="Times New Roman;serif" w:hAnsi="Times New Roman;serif"/>
          <w:b w:val="false"/>
          <w:color w:val="000000"/>
          <w:sz w:val="20"/>
        </w:rPr>
        <w:t xml:space="preserve">We calculate NAV per share in accordance with the valuation guidelines that have been approved by our board of directors. Our NAV per share, which is updated as of the last calendar day of each month, is posted on our website at </w:t>
      </w:r>
      <w:r>
        <w:rPr>
          <w:rFonts w:ascii="Times New Roman;serif" w:hAnsi="Times New Roman;serif"/>
          <w:b w:val="false"/>
          <w:i/>
          <w:color w:val="000000"/>
          <w:sz w:val="20"/>
        </w:rPr>
        <w:t xml:space="preserve">www.jpmreit.com. </w:t>
      </w:r>
      <w:r>
        <w:rPr>
          <w:rFonts w:ascii="Times New Roman;serif" w:hAnsi="Times New Roman;serif"/>
          <w:b w:val="false"/>
          <w:color w:val="000000"/>
          <w:sz w:val="20"/>
        </w:rPr>
        <w:t>Please refer to “Net Asset Value Calculation and Valuation Guidelines” in the Prospectus for how our NAV is determined. The Adviser is ultimately responsible for determining our NAV.</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total NAV presented in the following tables includes the aggregate NAV of our common stock, as well as partnership interests of the Operating Partnership held by the Special Limited Partner. The following table provides a breakdown of the major components of our total NAV as of September 30, 2026 ($ and shares/units in thousands):</w:t>
      </w:r>
    </w:p>
    <w:tbl>
      <w:tblPr>
        <w:tblW w:w="6746" w:type="dxa"/>
        <w:jc w:val="left"/>
        <w:tblInd w:w="0" w:type="dxa"/>
        <w:tblLayout w:type="fixed"/>
        <w:tblCellMar>
          <w:top w:w="28" w:type="dxa"/>
          <w:left w:w="28" w:type="dxa"/>
          <w:bottom w:w="28" w:type="dxa"/>
          <w:right w:w="28" w:type="dxa"/>
        </w:tblCellMar>
      </w:tblPr>
      <w:tblGrid>
        <w:gridCol w:w="1751"/>
        <w:gridCol w:w="1537"/>
        <w:gridCol w:w="1542"/>
        <w:gridCol w:w="109"/>
        <w:gridCol w:w="109"/>
        <w:gridCol w:w="109"/>
        <w:gridCol w:w="250"/>
        <w:gridCol w:w="1157"/>
        <w:gridCol w:w="182"/>
      </w:tblGrid>
      <w:tr>
        <w:trPr/>
        <w:tc>
          <w:tcPr>
            <w:tcW w:w="175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Components of NAV</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rPr/>
        <w:tc>
          <w:tcPr>
            <w:tcW w:w="483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1,720,942 </w:t>
            </w:r>
          </w:p>
        </w:tc>
        <w:tc>
          <w:tcPr>
            <w:tcW w:w="18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358,542 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estate-related and other securities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14,605 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(942,312)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Stockholder servicing fees payable the following month</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joint ventures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1,147,247 </w:t>
            </w:r>
          </w:p>
        </w:tc>
        <w:tc>
          <w:tcPr>
            <w:tcW w:w="18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outstanding shares/units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101,507 </w:t>
            </w:r>
          </w:p>
        </w:tc>
        <w:tc>
          <w:tcPr>
            <w:tcW w:w="18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Stockholder servicing fees only apply to Class T, Class S, Class D and Class Y shares. For purposes of NAV, we recognize the stockholder servicing fee as a reduction of NAV on a monthly basis as such fee is paid. Under accounting principles generally accepted in the United States of America (“GAAP”), we accrue the lifetime cost of the stockholder servicing fee as an offering cost at the time we sell Class T, Class S, Class D and Class Y shares. The stockholder servicing fee on Class D shares was waived as of September 30, 2026, and the NAV attributable to current holders of Class D shares will not be included in the computation of stockholder servicing fees charged on Class D shares in perpetuity. As of September 30, 2026, we had accrued under GAAP stockholder servicing fees of $8.6 million.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our total NAV and NAV per share/unit by class as of September 30, 2026 ($ and shares/units in thousands, except per share/unit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67" w:type="dxa"/>
        <w:jc w:val="left"/>
        <w:tblInd w:w="0" w:type="dxa"/>
        <w:tblLayout w:type="fixed"/>
        <w:tblCellMar>
          <w:top w:w="28" w:type="dxa"/>
          <w:left w:w="28" w:type="dxa"/>
          <w:bottom w:w="28" w:type="dxa"/>
          <w:right w:w="28" w:type="dxa"/>
        </w:tblCellMar>
      </w:tblPr>
      <w:tblGrid>
        <w:gridCol w:w="783"/>
        <w:gridCol w:w="686"/>
        <w:gridCol w:w="691"/>
        <w:gridCol w:w="109"/>
        <w:gridCol w:w="109"/>
        <w:gridCol w:w="109"/>
        <w:gridCol w:w="211"/>
        <w:gridCol w:w="976"/>
        <w:gridCol w:w="109"/>
        <w:gridCol w:w="109"/>
        <w:gridCol w:w="109"/>
        <w:gridCol w:w="109"/>
        <w:gridCol w:w="889"/>
        <w:gridCol w:w="889"/>
        <w:gridCol w:w="892"/>
        <w:gridCol w:w="109"/>
        <w:gridCol w:w="109"/>
        <w:gridCol w:w="109"/>
        <w:gridCol w:w="335"/>
        <w:gridCol w:w="980"/>
        <w:gridCol w:w="245"/>
      </w:tblGrid>
      <w:tr>
        <w:trPr/>
        <w:tc>
          <w:tcPr>
            <w:tcW w:w="7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 Class/Unit</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asset value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outstanding shares/units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NAV per share/unit</w:t>
            </w:r>
          </w:p>
        </w:tc>
      </w:tr>
      <w:tr>
        <w:trPr/>
        <w:tc>
          <w:tcPr>
            <w:tcW w:w="2160"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D Shares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89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4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I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S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E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64,411 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X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Y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Operating Partnership Units</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1,147,247 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101,507 </w:t>
            </w:r>
          </w:p>
        </w:tc>
        <w:tc>
          <w:tcPr>
            <w:tcW w:w="89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Class E units held by the Special Limited Partner.</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Set forth below are the weighted averages of the key assumptions in the discounted cash flow methodology used in the September 30, 2026 valuations, based on property types. Once we value more than one single-family rental property or more than one office property, we will include the key assumptions for such property type.</w:t>
      </w:r>
    </w:p>
    <w:tbl>
      <w:tblPr>
        <w:tblW w:w="4892" w:type="dxa"/>
        <w:jc w:val="center"/>
        <w:tblInd w:w="0" w:type="dxa"/>
        <w:tblLayout w:type="fixed"/>
        <w:tblCellMar>
          <w:top w:w="28" w:type="dxa"/>
          <w:left w:w="28" w:type="dxa"/>
          <w:bottom w:w="28" w:type="dxa"/>
          <w:right w:w="28" w:type="dxa"/>
        </w:tblCellMar>
      </w:tblPr>
      <w:tblGrid>
        <w:gridCol w:w="429"/>
        <w:gridCol w:w="376"/>
        <w:gridCol w:w="379"/>
        <w:gridCol w:w="109"/>
        <w:gridCol w:w="109"/>
        <w:gridCol w:w="109"/>
        <w:gridCol w:w="255"/>
        <w:gridCol w:w="256"/>
        <w:gridCol w:w="624"/>
        <w:gridCol w:w="109"/>
        <w:gridCol w:w="109"/>
        <w:gridCol w:w="109"/>
        <w:gridCol w:w="391"/>
        <w:gridCol w:w="391"/>
        <w:gridCol w:w="1137"/>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Property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Exit Capitalization Rate</w:t>
            </w:r>
          </w:p>
        </w:tc>
      </w:tr>
      <w:tr>
        <w:trPr/>
        <w:tc>
          <w:tcPr>
            <w:tcW w:w="118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62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13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1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62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13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These assumptions are determined by our independent valuation advisor and reviewed by the Adviser. A change in these assumptions would impact the calculation of the value of our property investments. For example, assuming all other factors remain unchanged, the changes listed below would result in the following effects on our investment values:</w:t>
      </w:r>
    </w:p>
    <w:tbl>
      <w:tblPr>
        <w:tblW w:w="10205" w:type="dxa"/>
        <w:jc w:val="left"/>
        <w:tblInd w:w="0" w:type="dxa"/>
        <w:tblLayout w:type="fixed"/>
        <w:tblCellMar>
          <w:top w:w="28" w:type="dxa"/>
          <w:left w:w="28" w:type="dxa"/>
          <w:bottom w:w="28" w:type="dxa"/>
          <w:right w:w="28" w:type="dxa"/>
        </w:tblCellMar>
      </w:tblPr>
      <w:tblGrid>
        <w:gridCol w:w="717"/>
        <w:gridCol w:w="600"/>
        <w:gridCol w:w="573"/>
        <w:gridCol w:w="109"/>
        <w:gridCol w:w="109"/>
        <w:gridCol w:w="109"/>
        <w:gridCol w:w="497"/>
        <w:gridCol w:w="497"/>
        <w:gridCol w:w="499"/>
        <w:gridCol w:w="109"/>
        <w:gridCol w:w="109"/>
        <w:gridCol w:w="109"/>
        <w:gridCol w:w="657"/>
        <w:gridCol w:w="657"/>
        <w:gridCol w:w="658"/>
        <w:gridCol w:w="109"/>
        <w:gridCol w:w="109"/>
        <w:gridCol w:w="109"/>
        <w:gridCol w:w="614"/>
        <w:gridCol w:w="614"/>
        <w:gridCol w:w="616"/>
        <w:gridCol w:w="109"/>
        <w:gridCol w:w="109"/>
        <w:gridCol w:w="109"/>
        <w:gridCol w:w="495"/>
        <w:gridCol w:w="495"/>
        <w:gridCol w:w="708"/>
      </w:tblGrid>
      <w:tr>
        <w:trPr/>
        <w:tc>
          <w:tcPr>
            <w:tcW w:w="71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Input</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Hypothetical Change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Multifamily Investment Values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Industrial Investment Values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Retail Investment Values</w:t>
            </w:r>
          </w:p>
        </w:tc>
      </w:tr>
      <w:tr>
        <w:trPr/>
        <w:tc>
          <w:tcPr>
            <w:tcW w:w="189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1.90%</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(1.82)%</w:t>
            </w:r>
          </w:p>
        </w:tc>
      </w:tr>
      <w:tr>
        <w:trPr/>
        <w:tc>
          <w:tcPr>
            <w:tcW w:w="18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Exit Capitalization Rate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2.27%</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r>
    </w:tbl>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Status of Our Current Public Offering</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On February 4, 2026, we commenced our second public offering, pursuant to which we are currently offering on a continuous basis up to $4.8 billion in shares of our common stock, consisting of up to $3.8 billion in shares in our primary offering and up to $1.0 billion in shares pursuant to our distribution reinvestment plan. As of the date hereof, we have issued and sold 24,256 Class D, 9,243,563 Class I and 35,117 Class T shares in the primary offering for total proceeds of approximately $98.7 million. We have issued 26,757 Class D, 331,755 Class I and 37 Class T shares for a total value of approximately $3.8 million pursuant to our distribution reinvestment plan. As of the date hereof, we have not sold any Class S shares in this offering. We intend to continue selling shares in the public offering on a monthly basis.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Updates to the Prospectus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The following disclosure is added to the “Experts” section of the Prospectus.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estimated market values of our investments in real estate as of September 30, 2026 presented on page 2 of this Supplement under the section “September 30, 2026 NAV Per Share” have been prepared by SitusAMC Real Estate Valuation Services, LLC, an independent valuation firm, and are included in this Supplement given the authority of such firm as experts in property valuations and appraisals. SitusAMC Real Estate Valuation Services, LLC will not calculate or be responsible for our NAV per share for any class of our shares.</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1209</Words>
  <Characters>6198</Characters>
  <CharactersWithSpaces>7292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