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31,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J.P. Morgan Real Estate Income Trust, Inc.</w:t>
      </w:r>
    </w:p>
    <w:p>
      <w:pPr>
        <w:pStyle w:val="TextBody"/>
        <w:bidi w:val="0"/>
        <w:spacing w:lineRule="auto" w:line="288" w:before="0" w:after="18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64" w:type="dxa"/>
        <w:jc w:val="center"/>
        <w:tblInd w:w="0" w:type="dxa"/>
        <w:tblLayout w:type="fixed"/>
        <w:tblCellMar>
          <w:top w:w="28" w:type="dxa"/>
          <w:left w:w="28" w:type="dxa"/>
          <w:bottom w:w="28" w:type="dxa"/>
          <w:right w:w="28" w:type="dxa"/>
        </w:tblCellMar>
      </w:tblPr>
      <w:tblGrid>
        <w:gridCol w:w="970"/>
        <w:gridCol w:w="854"/>
        <w:gridCol w:w="860"/>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333-288565</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87-3439916</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390 Madison Avenue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76" w:before="0" w:after="200"/>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212)</w:t>
      </w:r>
      <w:r>
        <w:rPr>
          <w:color w:val="000000"/>
        </w:rPr>
        <w:t xml:space="preserve"> </w:t>
      </w:r>
      <w:r>
        <w:rPr>
          <w:rFonts w:ascii="Times New Roman;serif" w:hAnsi="Times New Roman;serif"/>
          <w:b/>
          <w:color w:val="000000"/>
          <w:sz w:val="20"/>
        </w:rPr>
        <w:t>270-6000</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12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tbl>
      <w:tblPr>
        <w:tblW w:w="6186" w:type="dxa"/>
        <w:jc w:val="left"/>
        <w:tblInd w:w="0" w:type="dxa"/>
        <w:tblLayout w:type="fixed"/>
        <w:tblCellMar>
          <w:top w:w="28" w:type="dxa"/>
          <w:left w:w="28" w:type="dxa"/>
          <w:bottom w:w="28" w:type="dxa"/>
          <w:right w:w="28" w:type="dxa"/>
        </w:tblCellMar>
      </w:tblPr>
      <w:tblGrid>
        <w:gridCol w:w="504"/>
        <w:gridCol w:w="442"/>
        <w:gridCol w:w="448"/>
        <w:gridCol w:w="109"/>
        <w:gridCol w:w="109"/>
        <w:gridCol w:w="109"/>
        <w:gridCol w:w="274"/>
        <w:gridCol w:w="274"/>
        <w:gridCol w:w="276"/>
        <w:gridCol w:w="109"/>
        <w:gridCol w:w="109"/>
        <w:gridCol w:w="109"/>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3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76" w:before="16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16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360" w:after="20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76" w:before="120" w:after="200"/>
        <w:jc w:val="left"/>
        <w:rPr>
          <w:rFonts w:ascii="Times New Roman;serif" w:hAnsi="Times New Roman;serif"/>
          <w:b w:val="false"/>
          <w:color w:val="000000"/>
          <w:sz w:val="20"/>
        </w:rPr>
      </w:pPr>
      <w:r>
        <w:rPr>
          <w:rFonts w:ascii="Times New Roman;serif" w:hAnsi="Times New Roman;serif"/>
          <w:b w:val="false"/>
          <w:color w:val="000000"/>
          <w:sz w:val="20"/>
        </w:rPr>
        <w:t>On August 31, 2026, J.P. Morgan Real Estate Income Trust, Inc. (the “Company”) declared distributions for each class of its common stock in the amount per share set forth below for record holders as of the date set forth above the table:</w:t>
      </w:r>
    </w:p>
    <w:tbl>
      <w:tblPr>
        <w:tblW w:w="7775" w:type="dxa"/>
        <w:jc w:val="left"/>
        <w:tblInd w:w="0" w:type="dxa"/>
        <w:tblLayout w:type="fixed"/>
        <w:tblCellMar>
          <w:top w:w="28" w:type="dxa"/>
          <w:left w:w="28" w:type="dxa"/>
          <w:bottom w:w="28" w:type="dxa"/>
          <w:right w:w="28" w:type="dxa"/>
        </w:tblCellMar>
      </w:tblPr>
      <w:tblGrid>
        <w:gridCol w:w="738"/>
        <w:gridCol w:w="649"/>
        <w:gridCol w:w="653"/>
        <w:gridCol w:w="109"/>
        <w:gridCol w:w="109"/>
        <w:gridCol w:w="109"/>
        <w:gridCol w:w="292"/>
        <w:gridCol w:w="998"/>
        <w:gridCol w:w="150"/>
        <w:gridCol w:w="109"/>
        <w:gridCol w:w="109"/>
        <w:gridCol w:w="109"/>
        <w:gridCol w:w="377"/>
        <w:gridCol w:w="1423"/>
        <w:gridCol w:w="194"/>
        <w:gridCol w:w="109"/>
        <w:gridCol w:w="109"/>
        <w:gridCol w:w="109"/>
        <w:gridCol w:w="256"/>
        <w:gridCol w:w="877"/>
        <w:gridCol w:w="187"/>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August 31, 2026 Record Date</w:t>
            </w:r>
          </w:p>
        </w:tc>
      </w:tr>
      <w:tr>
        <w:trPr/>
        <w:tc>
          <w:tcPr>
            <w:tcW w:w="20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Distribution</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Stockholder Servicing Fee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Distribution</w:t>
            </w:r>
          </w:p>
        </w:tc>
      </w:tr>
      <w:tr>
        <w:trPr/>
        <w:tc>
          <w:tcPr>
            <w:tcW w:w="204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I Common Stock</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0.0438 </w:t>
            </w:r>
          </w:p>
        </w:tc>
        <w:tc>
          <w:tcPr>
            <w:tcW w:w="15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0.0438 </w:t>
            </w:r>
          </w:p>
        </w:tc>
        <w:tc>
          <w:tcPr>
            <w:tcW w:w="18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D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0.0438 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T 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0.0438 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(0.0083)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0.0355 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0.0438 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Y 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0.0438 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(0.0082)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0.0356 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As of August 31, 2026, the Company had no outstanding shares of Class S or Class X common stock. The net distributions for each class of common stock (which represents the gross distributions less stockholder servicing fees for the applicable class of common stock) are payable to stockholders of record immediately following 5:00 p.m. Eastern Time on the record date set forth above. The stockholder servicing fee on the Company’s Class D common stock was waived for August 2026, and the net asset value attributable to current holders of Class D shares will not be included in the computation of stockholder servicing fees charged on Class D shares in perpetuity. There is no stockholder servicing fee with respect to Class I common stock or Class E common stock. These distributions will be paid on or about September 3, 2026 and will be paid in cash or reinvested in shares of the Company’s common stock for stockholders participating in the Company’s distribution reinvestment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24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208"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1110"/>
        <w:gridCol w:w="1110"/>
        <w:gridCol w:w="157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J.P. Morgan Real Estate Income Trust,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A. Goodfield,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A. Goodfield, Jr.</w:t>
              <w:br/>
              <w:t>Chief Financial Officer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3235</Characters>
  <CharactersWithSpaces>3785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