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380" w:type="dxa"/>
            <w:vAlign w:val="bottom"/>
          </w:tcPr>
          <w:p>
            <w:pPr>
              <w:jc w:val="right"/>
              <w:ind w:right="1341"/>
              <w:spacing w:after="0"/>
              <w:rPr>
                <w:sz w:val="20"/>
                <w:szCs w:val="20"/>
                <w:color w:val="auto"/>
              </w:rPr>
            </w:pPr>
            <w:r>
              <w:rPr>
                <w:rFonts w:ascii="Times New Roman" w:cs="Times New Roman" w:eastAsia="Times New Roman" w:hAnsi="Times New Roman"/>
                <w:sz w:val="18"/>
                <w:szCs w:val="18"/>
                <w:b w:val="1"/>
                <w:bCs w:val="1"/>
                <w:color w:val="auto"/>
              </w:rPr>
              <w:t>333-288565</w:t>
            </w:r>
          </w:p>
        </w:tc>
        <w:tc>
          <w:tcPr>
            <w:tcW w:w="21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213"/>
        </w:trPr>
        <w:tc>
          <w:tcPr>
            <w:tcW w:w="30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20" w:type="dxa"/>
            <w:vAlign w:val="bottom"/>
          </w:tcPr>
          <w:p>
            <w:pPr>
              <w:jc w:val="center"/>
              <w:ind w:left="9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380" w:type="dxa"/>
            <w:vAlign w:val="bottom"/>
          </w:tcPr>
          <w:p>
            <w:pPr>
              <w:spacing w:after="0"/>
              <w:rPr>
                <w:sz w:val="15"/>
                <w:szCs w:val="15"/>
                <w:color w:val="auto"/>
              </w:rPr>
            </w:pPr>
          </w:p>
        </w:tc>
        <w:tc>
          <w:tcPr>
            <w:tcW w:w="212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w w:val="98"/>
              </w:rPr>
              <w:t>390 Madison Avenue</w:t>
            </w:r>
          </w:p>
        </w:tc>
        <w:tc>
          <w:tcPr>
            <w:tcW w:w="33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8"/>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380" w:type="dxa"/>
            <w:vAlign w:val="bottom"/>
          </w:tcPr>
          <w:p>
            <w:pPr>
              <w:spacing w:after="0"/>
              <w:rPr>
                <w:sz w:val="20"/>
                <w:szCs w:val="20"/>
                <w:color w:val="auto"/>
              </w:rPr>
            </w:pPr>
          </w:p>
        </w:tc>
        <w:tc>
          <w:tcPr>
            <w:tcW w:w="21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29"/>
        </w:trPr>
        <w:tc>
          <w:tcPr>
            <w:tcW w:w="3040" w:type="dxa"/>
            <w:vAlign w:val="bottom"/>
          </w:tcPr>
          <w:p>
            <w:pPr>
              <w:jc w:val="center"/>
              <w:ind w:right="6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380" w:type="dxa"/>
            <w:vAlign w:val="bottom"/>
          </w:tcPr>
          <w:p>
            <w:pPr>
              <w:spacing w:after="0"/>
              <w:rPr>
                <w:sz w:val="19"/>
                <w:szCs w:val="19"/>
                <w:color w:val="auto"/>
              </w:rPr>
            </w:pPr>
          </w:p>
        </w:tc>
        <w:tc>
          <w:tcPr>
            <w:tcW w:w="212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212) 270-6000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ectPr>
          <w:pgSz w:w="11900" w:h="16838" w:orient="portrait"/>
          <w:cols w:equalWidth="0" w:num="1">
            <w:col w:w="11240"/>
          </w:cols>
          <w:pgMar w:left="320" w:top="1226"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880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Trading</w:t>
      </w:r>
    </w:p>
    <w:p>
      <w:pPr>
        <w:spacing w:after="0" w:line="1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39370</wp:posOffset>
            </wp:positionV>
            <wp:extent cx="10718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-594360</wp:posOffset>
            </wp:positionH>
            <wp:positionV relativeFrom="paragraph">
              <wp:posOffset>41910</wp:posOffset>
            </wp:positionV>
            <wp:extent cx="2889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250" cy="8890"/>
                    </a:xfrm>
                    <a:prstGeom prst="rect">
                      <a:avLst/>
                    </a:prstGeom>
                    <a:noFill/>
                  </pic:spPr>
                </pic:pic>
              </a:graphicData>
            </a:graphic>
          </wp:anchor>
        </w:drawing>
      </w:r>
    </w:p>
    <w:p>
      <w:pPr>
        <w:spacing w:after="0" w:line="204" w:lineRule="exact"/>
        <w:rPr>
          <w:sz w:val="24"/>
          <w:szCs w:val="24"/>
          <w:color w:val="auto"/>
        </w:rPr>
      </w:pPr>
    </w:p>
    <w:p>
      <w:pPr>
        <w:sectPr>
          <w:pgSz w:w="11900" w:h="16838" w:orient="portrait"/>
          <w:cols w:equalWidth="0" w:num="3">
            <w:col w:w="4580" w:space="720"/>
            <w:col w:w="1580" w:space="720"/>
            <w:col w:w="3640"/>
          </w:cols>
          <w:pgMar w:left="320" w:top="1226" w:right="339" w:bottom="1440" w:gutter="0" w:footer="0" w:header="0"/>
          <w:type w:val="continuous"/>
        </w:sectPr>
      </w:pPr>
    </w:p>
    <w:p>
      <w:pPr>
        <w:spacing w:after="0" w:line="30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30, 2026, J.P. Morgan Real Estate Income Trust, Inc. (the “Company”) declared distributions for each class of its common stock in the amount per share set forth below for record holders as of the date set forth above the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31, 2026 Record Date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37"/>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99"/>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Distribution</w:t>
            </w:r>
          </w:p>
        </w:tc>
        <w:tc>
          <w:tcPr>
            <w:tcW w:w="14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 Servicing Fee</w:t>
            </w:r>
          </w:p>
        </w:tc>
        <w:tc>
          <w:tcPr>
            <w:tcW w:w="280" w:type="dxa"/>
            <w:vAlign w:val="bottom"/>
          </w:tcPr>
          <w:p>
            <w:pPr>
              <w:spacing w:after="0"/>
              <w:rPr>
                <w:sz w:val="17"/>
                <w:szCs w:val="17"/>
                <w:color w:val="auto"/>
              </w:rPr>
            </w:pPr>
          </w:p>
        </w:tc>
        <w:tc>
          <w:tcPr>
            <w:tcW w:w="16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Net Distribution</w:t>
            </w:r>
          </w:p>
        </w:tc>
      </w:tr>
      <w:tr>
        <w:trPr>
          <w:trHeight w:val="37"/>
        </w:trPr>
        <w:tc>
          <w:tcPr>
            <w:tcW w:w="53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7"/>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I Common Stock</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0.0438</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FF0FC"/>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0.0438</w:t>
            </w:r>
          </w:p>
        </w:tc>
      </w:tr>
      <w:tr>
        <w:trPr>
          <w:trHeight w:val="25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D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0.0438</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0.0438</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63"/>
        </w:trPr>
        <w:tc>
          <w:tcPr>
            <w:tcW w:w="54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T Common Stock</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0.0438</w:t>
            </w: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(0.0083)</w:t>
            </w:r>
          </w:p>
        </w:tc>
        <w:tc>
          <w:tcPr>
            <w:tcW w:w="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0.0355</w:t>
            </w:r>
          </w:p>
        </w:tc>
      </w:tr>
      <w:tr>
        <w:trPr>
          <w:trHeight w:val="25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E Common 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0.0438</w:t>
            </w:r>
          </w:p>
        </w:tc>
        <w:tc>
          <w:tcPr>
            <w:tcW w:w="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0.0438</w:t>
            </w:r>
          </w:p>
        </w:tc>
      </w:tr>
      <w:tr>
        <w:trPr>
          <w:trHeight w:val="27"/>
        </w:trPr>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5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Class Y Common Stock</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0.0438</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(0.0082)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0.0356</w:t>
            </w:r>
          </w:p>
        </w:tc>
      </w:tr>
      <w:tr>
        <w:trPr>
          <w:trHeight w:val="27"/>
        </w:trPr>
        <w:tc>
          <w:tcPr>
            <w:tcW w:w="5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7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-908050</wp:posOffset>
            </wp:positionV>
            <wp:extent cx="603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-908050</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3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As of October 30, 2026, the Company had no outstanding shares of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October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November 4, 2026 and will be paid in cash or reinvested in shares of the Company’s common stock for stockholders participating in the Company’s distribution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83" w:lineRule="exact"/>
        <w:rPr>
          <w:sz w:val="20"/>
          <w:szCs w:val="20"/>
          <w:color w:val="auto"/>
        </w:rPr>
      </w:pPr>
    </w:p>
    <w:p>
      <w:pPr>
        <w:ind w:left="20"/>
        <w:spacing w:after="0"/>
        <w:tabs>
          <w:tab w:leader="none" w:pos="680" w:val="left"/>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Lawrence A. Goodfield, Jr.</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00"/>
      </w:cols>
      <w:pgMar w:left="320" w:top="1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2026-10-30T11:02:53Z</dcterms:created>
  <dcterms:modified xsi:type="dcterms:W3CDTF">2026-10-30T11:02:53Z</dcterms:modified>
</cp:coreProperties>
</file>