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333-288565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87-3439916</w:t>
            </w:r>
          </w:p>
        </w:tc>
      </w:tr>
      <w:tr>
        <w:trPr>
          <w:trHeight w:val="17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390 Madison Avenue</w:t>
            </w:r>
          </w:p>
        </w:tc>
        <w:tc>
          <w:tcPr>
            <w:tcW w:w="3060" w:type="dxa"/>
            <w:vAlign w:val="bottom"/>
          </w:tcPr>
          <w:p>
            <w:pPr>
              <w:spacing w:after="0"/>
              <w:rPr>
                <w:sz w:val="21"/>
                <w:szCs w:val="21"/>
                <w:color w:val="auto"/>
              </w:rPr>
            </w:pPr>
          </w:p>
        </w:tc>
      </w:tr>
      <w:tr>
        <w:trPr>
          <w:trHeight w:val="252"/>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0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None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72"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580" w:type="dxa"/>
            <w:vAlign w:val="bottom"/>
            <w:gridSpan w:val="2"/>
          </w:tcPr>
          <w:p>
            <w:pPr>
              <w:ind w:left="18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w:t>
            </w:r>
          </w:p>
        </w:tc>
        <w:tc>
          <w:tcPr>
            <w:tcW w:w="202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6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2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06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spacing w:after="0"/>
              <w:rPr>
                <w:sz w:val="21"/>
                <w:szCs w:val="21"/>
                <w:color w:val="auto"/>
              </w:rPr>
            </w:pPr>
          </w:p>
        </w:tc>
        <w:tc>
          <w:tcPr>
            <w:tcW w:w="2020" w:type="dxa"/>
            <w:vAlign w:val="bottom"/>
          </w:tcPr>
          <w:p>
            <w:pPr>
              <w:spacing w:after="0"/>
              <w:rPr>
                <w:sz w:val="21"/>
                <w:szCs w:val="21"/>
                <w:color w:val="auto"/>
              </w:rPr>
            </w:pPr>
          </w:p>
        </w:tc>
      </w:tr>
    </w:tbl>
    <w:p>
      <w:pPr>
        <w:spacing w:after="0" w:line="181" w:lineRule="exact"/>
        <w:rPr>
          <w:sz w:val="24"/>
          <w:szCs w:val="24"/>
          <w:color w:val="auto"/>
        </w:rPr>
      </w:pPr>
    </w:p>
    <w:p>
      <w:pPr>
        <w:ind w:right="5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4"/>
          <w:szCs w:val="14"/>
          <w:color w:val="auto"/>
        </w:rPr>
        <w:t>As of November 6, 2026, the registrant had outstanding 1,038,174 shares of Class D common stock, 24,248,064 shares of Class I common stock, 78,571 shares of Class T common stock, 64,740,860 shares of Class E common stock and 12,703,122 shares of Class Y common stock. There were no outstanding shares of Class S or Class X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33655</wp:posOffset>
            </wp:positionV>
            <wp:extent cx="360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2.</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3.</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4.</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1.</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1A.</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2.</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3.</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4.</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5.</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980" w:type="dxa"/>
            <w:vAlign w:val="bottom"/>
            <w:gridSpan w:val="11"/>
          </w:tcPr>
          <w:p>
            <w:pPr>
              <w:spacing w:after="0"/>
              <w:rPr>
                <w:sz w:val="19"/>
                <w:szCs w:val="19"/>
                <w:color w:val="auto"/>
              </w:rPr>
            </w:pPr>
          </w:p>
        </w:tc>
        <w:tc>
          <w:tcPr>
            <w:tcW w:w="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2</w:t>
            </w:r>
          </w:p>
        </w:tc>
      </w:tr>
      <w:tr>
        <w:trPr>
          <w:trHeight w:val="453"/>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00" w:type="dxa"/>
            <w:vAlign w:val="bottom"/>
          </w:tcPr>
          <w:p>
            <w:pPr>
              <w:spacing w:after="0"/>
              <w:rPr>
                <w:sz w:val="24"/>
                <w:szCs w:val="24"/>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3"/>
        </w:trPr>
        <w:tc>
          <w:tcPr>
            <w:tcW w:w="65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2026 and December 31, 2025</w:t>
            </w:r>
          </w:p>
        </w:tc>
        <w:tc>
          <w:tcPr>
            <w:tcW w:w="1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2</w:t>
            </w:r>
          </w:p>
        </w:tc>
      </w:tr>
      <w:tr>
        <w:trPr>
          <w:trHeight w:val="264"/>
        </w:trPr>
        <w:tc>
          <w:tcPr>
            <w:tcW w:w="8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2026 and 2025</w:t>
            </w:r>
          </w:p>
        </w:tc>
        <w:tc>
          <w:tcPr>
            <w:tcW w:w="740" w:type="dxa"/>
            <w:vAlign w:val="bottom"/>
            <w:gridSpan w:val="2"/>
          </w:tcPr>
          <w:p>
            <w:pPr>
              <w:spacing w:after="0"/>
              <w:rPr>
                <w:sz w:val="22"/>
                <w:szCs w:val="22"/>
                <w:color w:val="auto"/>
              </w:rPr>
            </w:pPr>
          </w:p>
        </w:tc>
        <w:tc>
          <w:tcPr>
            <w:tcW w:w="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3</w:t>
            </w:r>
          </w:p>
        </w:tc>
      </w:tr>
      <w:tr>
        <w:trPr>
          <w:trHeight w:val="263"/>
        </w:trPr>
        <w:tc>
          <w:tcPr>
            <w:tcW w:w="90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for the three and nine months ended September 30, 2026 and 2025</w:t>
            </w:r>
          </w:p>
        </w:tc>
        <w:tc>
          <w:tcPr>
            <w:tcW w:w="200" w:type="dxa"/>
            <w:vAlign w:val="bottom"/>
          </w:tcPr>
          <w:p>
            <w:pPr>
              <w:spacing w:after="0"/>
              <w:rPr>
                <w:sz w:val="22"/>
                <w:szCs w:val="22"/>
                <w:color w:val="auto"/>
              </w:rPr>
            </w:pPr>
          </w:p>
        </w:tc>
        <w:tc>
          <w:tcPr>
            <w:tcW w:w="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5</w:t>
            </w:r>
          </w:p>
        </w:tc>
      </w:tr>
      <w:tr>
        <w:trPr>
          <w:trHeight w:val="263"/>
        </w:trPr>
        <w:tc>
          <w:tcPr>
            <w:tcW w:w="7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2025</w:t>
            </w:r>
          </w:p>
        </w:tc>
        <w:tc>
          <w:tcPr>
            <w:tcW w:w="1400" w:type="dxa"/>
            <w:vAlign w:val="bottom"/>
            <w:gridSpan w:val="3"/>
          </w:tcPr>
          <w:p>
            <w:pPr>
              <w:spacing w:after="0"/>
              <w:rPr>
                <w:sz w:val="22"/>
                <w:szCs w:val="22"/>
                <w:color w:val="auto"/>
              </w:rPr>
            </w:pPr>
          </w:p>
        </w:tc>
        <w:tc>
          <w:tcPr>
            <w:tcW w:w="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6</w:t>
            </w:r>
          </w:p>
        </w:tc>
      </w:tr>
      <w:tr>
        <w:trPr>
          <w:trHeight w:val="264"/>
        </w:trPr>
        <w:tc>
          <w:tcPr>
            <w:tcW w:w="4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440" w:type="dxa"/>
            <w:vAlign w:val="bottom"/>
            <w:gridSpan w:val="6"/>
          </w:tcPr>
          <w:p>
            <w:pPr>
              <w:spacing w:after="0"/>
              <w:rPr>
                <w:sz w:val="22"/>
                <w:szCs w:val="22"/>
                <w:color w:val="auto"/>
              </w:rPr>
            </w:pPr>
          </w:p>
        </w:tc>
        <w:tc>
          <w:tcPr>
            <w:tcW w:w="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8</w:t>
            </w:r>
          </w:p>
        </w:tc>
      </w:tr>
      <w:tr>
        <w:trPr>
          <w:trHeight w:val="263"/>
        </w:trPr>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80" w:type="dxa"/>
            <w:vAlign w:val="bottom"/>
            <w:gridSpan w:val="5"/>
          </w:tcPr>
          <w:p>
            <w:pPr>
              <w:spacing w:after="0"/>
              <w:rPr>
                <w:sz w:val="22"/>
                <w:szCs w:val="22"/>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35</w:t>
            </w:r>
          </w:p>
        </w:tc>
      </w:tr>
      <w:tr>
        <w:trPr>
          <w:trHeight w:val="264"/>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54</w:t>
            </w:r>
          </w:p>
        </w:tc>
      </w:tr>
      <w:tr>
        <w:trPr>
          <w:trHeight w:val="263"/>
        </w:trPr>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6"/>
          </w:tcPr>
          <w:p>
            <w:pPr>
              <w:spacing w:after="0"/>
              <w:rPr>
                <w:sz w:val="22"/>
                <w:szCs w:val="22"/>
                <w:color w:val="auto"/>
              </w:rPr>
            </w:pPr>
          </w:p>
        </w:tc>
        <w:tc>
          <w:tcPr>
            <w:tcW w:w="4880" w:type="dxa"/>
            <w:vAlign w:val="bottom"/>
            <w:gridSpan w:val="7"/>
          </w:tcPr>
          <w:p>
            <w:pPr>
              <w:spacing w:after="0"/>
              <w:rPr>
                <w:sz w:val="22"/>
                <w:szCs w:val="22"/>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55</w:t>
            </w:r>
          </w:p>
        </w:tc>
      </w:tr>
      <w:tr>
        <w:trPr>
          <w:trHeight w:val="466"/>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r>
      <w:tr>
        <w:trPr>
          <w:trHeight w:val="466"/>
        </w:trPr>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360" w:type="dxa"/>
            <w:vAlign w:val="bottom"/>
            <w:gridSpan w:val="12"/>
          </w:tcPr>
          <w:p>
            <w:pPr>
              <w:spacing w:after="0"/>
              <w:rPr>
                <w:sz w:val="24"/>
                <w:szCs w:val="24"/>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r>
      <w:tr>
        <w:trPr>
          <w:trHeight w:val="263"/>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3"/>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56</w:t>
            </w:r>
          </w:p>
        </w:tc>
      </w:tr>
      <w:tr>
        <w:trPr>
          <w:trHeight w:val="263"/>
        </w:trPr>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00" w:type="dxa"/>
            <w:vAlign w:val="bottom"/>
            <w:gridSpan w:val="8"/>
          </w:tcPr>
          <w:p>
            <w:pPr>
              <w:spacing w:after="0"/>
              <w:rPr>
                <w:sz w:val="22"/>
                <w:szCs w:val="22"/>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r>
      <w:tr>
        <w:trPr>
          <w:trHeight w:val="264"/>
        </w:trPr>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2"/>
                <w:szCs w:val="22"/>
                <w:color w:val="auto"/>
              </w:rPr>
            </w:pPr>
          </w:p>
        </w:tc>
        <w:tc>
          <w:tcPr>
            <w:tcW w:w="6920" w:type="dxa"/>
            <w:vAlign w:val="bottom"/>
            <w:gridSpan w:val="10"/>
          </w:tcPr>
          <w:p>
            <w:pPr>
              <w:spacing w:after="0"/>
              <w:rPr>
                <w:sz w:val="22"/>
                <w:szCs w:val="22"/>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r>
      <w:tr>
        <w:trPr>
          <w:trHeight w:val="263"/>
        </w:trPr>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20" w:type="dxa"/>
            <w:vAlign w:val="bottom"/>
            <w:gridSpan w:val="15"/>
          </w:tcPr>
          <w:p>
            <w:pPr>
              <w:spacing w:after="0"/>
              <w:rPr>
                <w:sz w:val="22"/>
                <w:szCs w:val="22"/>
                <w:color w:val="auto"/>
              </w:rPr>
            </w:pP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57</w:t>
            </w:r>
          </w:p>
        </w:tc>
      </w:tr>
      <w:tr>
        <w:trPr>
          <w:trHeight w:val="263"/>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gridSpan w:val="1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9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40" w:space="660"/>
            <w:col w:w="9700"/>
          </w:cols>
          <w:pgMar w:left="320" w:top="121" w:right="4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5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r>
      <w:tr>
        <w:trPr>
          <w:trHeight w:val="227"/>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 in real estate,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1,457,052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1,159,632</w:t>
            </w:r>
          </w:p>
        </w:tc>
      </w:tr>
      <w:tr>
        <w:trPr>
          <w:trHeight w:val="232"/>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Investments in real estate debt</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358,542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224,600</w:t>
            </w:r>
          </w:p>
        </w:tc>
      </w:tr>
      <w:tr>
        <w:trPr>
          <w:trHeight w:val="227"/>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 in real estate-related and other securities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15,323</w:t>
            </w:r>
          </w:p>
        </w:tc>
      </w:tr>
      <w:tr>
        <w:trPr>
          <w:trHeight w:val="233"/>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96,588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58,548</w:t>
            </w:r>
          </w:p>
        </w:tc>
      </w:tr>
      <w:tr>
        <w:trPr>
          <w:trHeight w:val="226"/>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18,416</w:t>
            </w:r>
          </w:p>
        </w:tc>
      </w:tr>
      <w:tr>
        <w:trPr>
          <w:trHeight w:val="233"/>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w:t>
            </w:r>
          </w:p>
        </w:tc>
      </w:tr>
      <w:tr>
        <w:trPr>
          <w:trHeight w:val="227"/>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Deposits on real estate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 net</w:t>
            </w:r>
          </w:p>
        </w:tc>
        <w:tc>
          <w:tcPr>
            <w:tcW w:w="16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39,230</w:t>
            </w: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22,310</w:t>
            </w: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2,000,245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1,503,518</w:t>
            </w:r>
          </w:p>
        </w:tc>
      </w:tr>
      <w:tr>
        <w:trPr>
          <w:trHeight w:val="20"/>
        </w:trPr>
        <w:tc>
          <w:tcPr>
            <w:tcW w:w="75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26"/>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Mortgage notes,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359,445</w:t>
            </w:r>
          </w:p>
        </w:tc>
      </w:tr>
      <w:tr>
        <w:trPr>
          <w:trHeight w:val="233"/>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Repurchase facility, net</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268,453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167,863</w:t>
            </w:r>
          </w:p>
        </w:tc>
      </w:tr>
      <w:tr>
        <w:trPr>
          <w:trHeight w:val="227"/>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Unsecured revolving credit facility</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73,000</w:t>
            </w:r>
          </w:p>
        </w:tc>
      </w:tr>
      <w:tr>
        <w:trPr>
          <w:trHeight w:val="232"/>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Intangible liabilities, net</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8,435</w:t>
            </w:r>
          </w:p>
        </w:tc>
      </w:tr>
      <w:tr>
        <w:trPr>
          <w:trHeight w:val="227"/>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Mandatorily redeemable instruments</w:t>
            </w:r>
          </w:p>
        </w:tc>
        <w:tc>
          <w:tcPr>
            <w:tcW w:w="16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54,794</w:t>
            </w:r>
          </w:p>
        </w:tc>
      </w:tr>
      <w:tr>
        <w:trPr>
          <w:trHeight w:val="233"/>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Due to affiliates</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28,969</w:t>
            </w:r>
          </w:p>
        </w:tc>
      </w:tr>
      <w:tr>
        <w:trPr>
          <w:trHeight w:val="226"/>
        </w:trPr>
        <w:tc>
          <w:tcPr>
            <w:tcW w:w="7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26,856</w:t>
            </w:r>
          </w:p>
        </w:tc>
      </w:tr>
      <w:tr>
        <w:trPr>
          <w:trHeight w:val="22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1,010,785</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719,362</w:t>
            </w:r>
          </w:p>
        </w:tc>
      </w:tr>
      <w:tr>
        <w:trPr>
          <w:trHeight w:val="48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160" w:type="dxa"/>
            <w:vAlign w:val="bottom"/>
          </w:tcPr>
          <w:p>
            <w:pPr>
              <w:spacing w:after="0"/>
              <w:rPr>
                <w:sz w:val="24"/>
                <w:szCs w:val="24"/>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-616585</wp:posOffset>
            </wp:positionV>
            <wp:extent cx="60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-1774190</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-3265170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4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p>
      <w:pPr>
        <w:ind w:left="260" w:right="1060"/>
        <w:spacing w:after="0" w:line="245" w:lineRule="auto"/>
        <w:rPr>
          <w:sz w:val="20"/>
          <w:szCs w:val="20"/>
          <w:color w:val="auto"/>
        </w:rPr>
      </w:pPr>
      <w:r>
        <w:rPr>
          <w:rFonts w:ascii="Times New Roman" w:cs="Times New Roman" w:eastAsia="Times New Roman" w:hAnsi="Times New Roman"/>
          <w:sz w:val="16"/>
          <w:szCs w:val="16"/>
          <w:color w:val="auto"/>
        </w:rPr>
        <w:t>Common stock – Class D shares, $0.01 par value per share, 600,000 shares authorized, and 1,022 and 1,009 issued and outstanding as of September 30, 2026 and December 31, 2025, respectively</w:t>
      </w:r>
    </w:p>
    <w:p>
      <w:pPr>
        <w:spacing w:after="0" w:line="16" w:lineRule="exact"/>
        <w:rPr>
          <w:sz w:val="20"/>
          <w:szCs w:val="20"/>
          <w:color w:val="auto"/>
        </w:rPr>
      </w:pPr>
    </w:p>
    <w:p>
      <w:pPr>
        <w:ind w:left="260" w:right="920"/>
        <w:spacing w:after="0" w:line="245" w:lineRule="auto"/>
        <w:rPr>
          <w:sz w:val="20"/>
          <w:szCs w:val="20"/>
          <w:color w:val="auto"/>
        </w:rPr>
      </w:pPr>
      <w:r>
        <w:rPr>
          <w:rFonts w:ascii="Times New Roman" w:cs="Times New Roman" w:eastAsia="Times New Roman" w:hAnsi="Times New Roman"/>
          <w:sz w:val="16"/>
          <w:szCs w:val="16"/>
          <w:color w:val="auto"/>
        </w:rPr>
        <w:t>Common stock – Class I shares, $0.01 par value per share, 1,500,000 shares authorized, and 23,710 and 13,949 issued and outstanding as of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8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260" w:right="740"/>
        <w:spacing w:after="0" w:line="248" w:lineRule="auto"/>
        <w:rPr>
          <w:sz w:val="20"/>
          <w:szCs w:val="20"/>
          <w:color w:val="auto"/>
        </w:rPr>
      </w:pPr>
      <w:r>
        <w:rPr>
          <w:rFonts w:ascii="Times New Roman" w:cs="Times New Roman" w:eastAsia="Times New Roman" w:hAnsi="Times New Roman"/>
          <w:sz w:val="16"/>
          <w:szCs w:val="16"/>
          <w:color w:val="auto"/>
        </w:rPr>
        <w:t xml:space="preserve">Common stock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Class T shares, $0.01 par value per share, 600,000 shares authorized, and 25 and 0 issued and outstanding as of September 30, 2026 and December 31, 2025, respectively</w:t>
      </w:r>
    </w:p>
    <w:p>
      <w:pPr>
        <w:spacing w:after="0" w:line="13" w:lineRule="exact"/>
        <w:rPr>
          <w:sz w:val="20"/>
          <w:szCs w:val="20"/>
          <w:color w:val="auto"/>
        </w:rPr>
      </w:pPr>
    </w:p>
    <w:p>
      <w:pPr>
        <w:ind w:left="260" w:right="1000"/>
        <w:spacing w:after="0" w:line="245" w:lineRule="auto"/>
        <w:rPr>
          <w:sz w:val="20"/>
          <w:szCs w:val="20"/>
          <w:color w:val="auto"/>
        </w:rPr>
      </w:pPr>
      <w:r>
        <w:rPr>
          <w:rFonts w:ascii="Times New Roman" w:cs="Times New Roman" w:eastAsia="Times New Roman" w:hAnsi="Times New Roman"/>
          <w:sz w:val="16"/>
          <w:szCs w:val="16"/>
          <w:color w:val="auto"/>
        </w:rPr>
        <w:t>Common stock – Class E shares, $0.01 par value per share, 600,000 shares authorized, and 64,411 and 55,790 issued and outstanding as of September 30,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260" w:right="980"/>
        <w:spacing w:after="0" w:line="245" w:lineRule="auto"/>
        <w:rPr>
          <w:sz w:val="20"/>
          <w:szCs w:val="20"/>
          <w:color w:val="auto"/>
        </w:rPr>
      </w:pPr>
      <w:r>
        <w:rPr>
          <w:rFonts w:ascii="Times New Roman" w:cs="Times New Roman" w:eastAsia="Times New Roman" w:hAnsi="Times New Roman"/>
          <w:sz w:val="16"/>
          <w:szCs w:val="16"/>
          <w:color w:val="auto"/>
        </w:rPr>
        <w:t>Common stock – Class Y shares, $0.01 par value per share, 600,000 shares authorized, and 12,256 and 8,579 issued and outstanding as of September 30, 2026 and December 31, 2025, respectively</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92"/>
        </w:trPr>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237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391"/>
        </w:trPr>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2"/>
        </w:trPr>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644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391"/>
        </w:trPr>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123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311"/>
        </w:trPr>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6"/>
              </w:rPr>
              <w:t>1,083,935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844,236</w:t>
            </w:r>
          </w:p>
        </w:tc>
      </w:tr>
      <w:tr>
        <w:trPr>
          <w:trHeight w:val="229"/>
        </w:trPr>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(110,597)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(74,128)</w:t>
            </w:r>
          </w:p>
        </w:tc>
      </w:tr>
    </w:tbl>
    <w:p>
      <w:pPr>
        <w:spacing w:after="0" w:line="1"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6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974,352</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770,901</w:t>
            </w: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Non-controlling interests in consolidated joint ventures</w:t>
            </w: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14,142</w:t>
            </w:r>
          </w:p>
        </w:tc>
        <w:tc>
          <w:tcPr>
            <w:tcW w:w="1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12,391</w:t>
            </w:r>
          </w:p>
        </w:tc>
      </w:tr>
      <w:tr>
        <w:trPr>
          <w:trHeight w:val="220"/>
        </w:trPr>
        <w:tc>
          <w:tcPr>
            <w:tcW w:w="75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988,494</w:t>
            </w: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783,292</w:t>
            </w:r>
          </w:p>
        </w:tc>
      </w:tr>
      <w:tr>
        <w:trPr>
          <w:trHeight w:val="248"/>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2,000,245</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1,503,518</w:t>
            </w:r>
          </w:p>
        </w:tc>
      </w:tr>
      <w:tr>
        <w:trPr>
          <w:trHeight w:val="20"/>
        </w:trPr>
        <w:tc>
          <w:tcPr>
            <w:tcW w:w="75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-33655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0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0" w:type="dxa"/>
            <w:vAlign w:val="bottom"/>
          </w:tcPr>
          <w:p>
            <w:pPr>
              <w:spacing w:after="0"/>
              <w:rPr>
                <w:sz w:val="16"/>
                <w:szCs w:val="16"/>
                <w:color w:val="auto"/>
              </w:rPr>
            </w:pPr>
          </w:p>
        </w:tc>
        <w:tc>
          <w:tcPr>
            <w:tcW w:w="268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25"/>
        </w:trPr>
        <w:tc>
          <w:tcPr>
            <w:tcW w:w="5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24"/>
        </w:trPr>
        <w:tc>
          <w:tcPr>
            <w:tcW w:w="5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51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Rental revenue</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35,863</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94,874</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44,061</w:t>
            </w:r>
          </w:p>
        </w:tc>
      </w:tr>
      <w:tr>
        <w:trPr>
          <w:trHeight w:val="33"/>
        </w:trPr>
        <w:tc>
          <w:tcPr>
            <w:tcW w:w="51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9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35,863</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22,556</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94,874</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44,061</w:t>
            </w: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Rental property operating</w:t>
            </w:r>
          </w:p>
        </w:tc>
        <w:tc>
          <w:tcPr>
            <w:tcW w:w="9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7,435</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37,129</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14,904</w:t>
            </w: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w:t>
            </w:r>
          </w:p>
        </w:tc>
      </w:tr>
      <w:tr>
        <w:trPr>
          <w:trHeight w:val="33"/>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5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16,600</w:t>
            </w:r>
          </w:p>
        </w:tc>
        <w:tc>
          <w:tcPr>
            <w:tcW w:w="1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14,363</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44,689</w:t>
            </w:r>
          </w:p>
        </w:tc>
        <w:tc>
          <w:tcPr>
            <w:tcW w:w="1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26,053</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32,876</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87,032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46,567</w:t>
            </w:r>
          </w:p>
        </w:tc>
      </w:tr>
      <w:tr>
        <w:trPr>
          <w:trHeight w:val="33"/>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33"/>
        </w:trPr>
        <w:tc>
          <w:tcPr>
            <w:tcW w:w="51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-1156970</wp:posOffset>
            </wp:positionV>
            <wp:extent cx="59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-1156970</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-1482090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-1482090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Income from investments in real estate debt</w:t>
      </w:r>
    </w:p>
    <w:p>
      <w:pPr>
        <w:spacing w:after="0" w:line="73" w:lineRule="exact"/>
        <w:rPr>
          <w:sz w:val="20"/>
          <w:szCs w:val="20"/>
          <w:color w:val="auto"/>
        </w:rPr>
      </w:pPr>
    </w:p>
    <w:p>
      <w:pPr>
        <w:ind w:left="360" w:right="860"/>
        <w:spacing w:after="0" w:line="280" w:lineRule="auto"/>
        <w:rPr>
          <w:sz w:val="20"/>
          <w:szCs w:val="20"/>
          <w:color w:val="auto"/>
        </w:rPr>
      </w:pPr>
      <w:r>
        <w:rPr>
          <w:rFonts w:ascii="Times New Roman" w:cs="Times New Roman" w:eastAsia="Times New Roman" w:hAnsi="Times New Roman"/>
          <w:sz w:val="16"/>
          <w:szCs w:val="16"/>
          <w:color w:val="auto"/>
        </w:rPr>
        <w:t>(Loss) income from investments in real estate-related and other securities</w:t>
      </w:r>
    </w:p>
    <w:p>
      <w:pPr>
        <w:spacing w:after="0" w:line="3" w:lineRule="exact"/>
        <w:rPr>
          <w:sz w:val="20"/>
          <w:szCs w:val="20"/>
          <w:color w:val="auto"/>
        </w:rPr>
      </w:pPr>
    </w:p>
    <w:p>
      <w:pPr>
        <w:ind w:left="360" w:right="1700"/>
        <w:spacing w:after="0" w:line="334" w:lineRule="auto"/>
        <w:rPr>
          <w:sz w:val="20"/>
          <w:szCs w:val="20"/>
          <w:color w:val="auto"/>
        </w:rPr>
      </w:pPr>
      <w:r>
        <w:rPr>
          <w:rFonts w:ascii="Times New Roman" w:cs="Times New Roman" w:eastAsia="Times New Roman" w:hAnsi="Times New Roman"/>
          <w:sz w:val="16"/>
          <w:szCs w:val="16"/>
          <w:color w:val="auto"/>
        </w:rPr>
        <w:t>Mandatorily redeemable instruments interest costs Interest expense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Other income (loss),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6,193</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2,412</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16,211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5,974</w:t>
            </w:r>
          </w:p>
        </w:tc>
      </w:tr>
      <w:tr>
        <w:trPr>
          <w:trHeight w:val="338"/>
        </w:trPr>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(139)</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306</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351"/>
        </w:trPr>
        <w:tc>
          <w:tcPr>
            <w:tcW w:w="10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(2,045)</w:t>
            </w: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(585)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w:t>
            </w:r>
          </w:p>
        </w:tc>
      </w:tr>
      <w:tr>
        <w:trPr>
          <w:trHeight w:val="257"/>
        </w:trPr>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8"/>
              </w:rPr>
              <w:t>(11,681)</w:t>
            </w: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(5,567)</w:t>
            </w: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(29,625)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(11,047)</w:t>
            </w:r>
          </w:p>
        </w:tc>
      </w:tr>
      <w:tr>
        <w:trPr>
          <w:trHeight w:val="256"/>
        </w:trPr>
        <w:tc>
          <w:tcPr>
            <w:tcW w:w="10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2,926</w:t>
            </w: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(148)</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4,431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-741045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-304165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20955</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20955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5320" w:space="720"/>
            <w:col w:w="5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480" w:type="dxa"/>
            <w:vAlign w:val="bottom"/>
            <w:tcBorders>
              <w:top w:val="single" w:sz="8" w:color="auto"/>
              <w:bottom w:val="single" w:sz="8" w:color="CFF0FC"/>
            </w:tcBorders>
            <w:shd w:val="clear" w:color="auto" w:fill="CFF0FC"/>
          </w:tcPr>
          <w:p>
            <w:pPr>
              <w:spacing w:after="0"/>
              <w:rPr>
                <w:sz w:val="23"/>
                <w:szCs w:val="23"/>
                <w:color w:val="auto"/>
              </w:rPr>
            </w:pP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shd w:val="clear" w:color="auto" w:fill="CFF0FC"/>
          </w:tcPr>
          <w:p>
            <w:pPr>
              <w:ind w:left="360"/>
              <w:spacing w:after="0" w:line="169" w:lineRule="exact"/>
              <w:rPr>
                <w:sz w:val="20"/>
                <w:szCs w:val="20"/>
                <w:color w:val="auto"/>
              </w:rPr>
            </w:pPr>
            <w:r>
              <w:rPr>
                <w:rFonts w:ascii="Times New Roman" w:cs="Times New Roman" w:eastAsia="Times New Roman" w:hAnsi="Times New Roman"/>
                <w:sz w:val="16"/>
                <w:szCs w:val="16"/>
                <w:color w:val="auto"/>
              </w:rPr>
              <w:t>Net loss attributable to non-controlling interests in consolidated</w:t>
            </w:r>
          </w:p>
        </w:tc>
        <w:tc>
          <w:tcPr>
            <w:tcW w:w="4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116"/>
        </w:trPr>
        <w:tc>
          <w:tcPr>
            <w:tcW w:w="518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joint ventures</w:t>
            </w:r>
          </w:p>
        </w:tc>
        <w:tc>
          <w:tcPr>
            <w:tcW w:w="48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180" w:type="dxa"/>
            <w:vAlign w:val="bottom"/>
            <w:vMerge w:val="continue"/>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spacing w:after="0"/>
              <w:rPr>
                <w:sz w:val="9"/>
                <w:szCs w:val="9"/>
                <w:color w:val="auto"/>
              </w:rPr>
            </w:pPr>
          </w:p>
        </w:tc>
        <w:tc>
          <w:tcPr>
            <w:tcW w:w="96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JPMREIT stockholders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of common stock – basic</w:t>
            </w: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of common stock – 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of common stock outstanding – basic</w:t>
            </w:r>
          </w:p>
        </w:tc>
        <w:tc>
          <w:tcPr>
            <w:tcW w:w="4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100,972</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72,503</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93,771</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62,968</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of common stock outstanding – 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100,976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93,771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62,968</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-231140</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-231140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-402590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-402590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-624840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-624840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-796290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-796290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-1259840</wp:posOffset>
            </wp:positionV>
            <wp:extent cx="59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-1259840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2026</w:t>
      </w:r>
    </w:p>
    <w:p>
      <w:pPr>
        <w:spacing w:after="0" w:line="69" w:lineRule="exact"/>
        <w:rPr>
          <w:sz w:val="20"/>
          <w:szCs w:val="20"/>
          <w:color w:val="auto"/>
        </w:rPr>
      </w:pPr>
    </w:p>
    <w:p>
      <w:pPr>
        <w:ind w:left="180" w:right="140"/>
        <w:spacing w:after="0" w:line="262" w:lineRule="auto"/>
        <w:rPr>
          <w:sz w:val="20"/>
          <w:szCs w:val="20"/>
          <w:color w:val="auto"/>
        </w:rPr>
      </w:pPr>
      <w:r>
        <w:rPr>
          <w:rFonts w:ascii="Times New Roman" w:cs="Times New Roman" w:eastAsia="Times New Roman" w:hAnsi="Times New Roman"/>
          <w:sz w:val="13"/>
          <w:szCs w:val="13"/>
          <w:color w:val="auto"/>
        </w:rPr>
        <w:t>Common stock issued, net of offering costs</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Common stock repurchased</w:t>
      </w:r>
    </w:p>
    <w:p>
      <w:pPr>
        <w:spacing w:after="0" w:line="67" w:lineRule="exact"/>
        <w:rPr>
          <w:sz w:val="20"/>
          <w:szCs w:val="20"/>
          <w:color w:val="auto"/>
        </w:rPr>
      </w:pPr>
    </w:p>
    <w:p>
      <w:pPr>
        <w:ind w:left="180" w:right="320"/>
        <w:spacing w:after="0" w:line="262" w:lineRule="auto"/>
        <w:rPr>
          <w:sz w:val="20"/>
          <w:szCs w:val="20"/>
          <w:color w:val="auto"/>
        </w:rPr>
      </w:pPr>
      <w:r>
        <w:rPr>
          <w:rFonts w:ascii="Times New Roman" w:cs="Times New Roman" w:eastAsia="Times New Roman" w:hAnsi="Times New Roman"/>
          <w:sz w:val="13"/>
          <w:szCs w:val="13"/>
          <w:color w:val="auto"/>
        </w:rPr>
        <w:t>Distributions declared on common stock</w:t>
      </w:r>
    </w:p>
    <w:p>
      <w:pPr>
        <w:spacing w:after="0" w:line="25" w:lineRule="exact"/>
        <w:rPr>
          <w:sz w:val="20"/>
          <w:szCs w:val="20"/>
          <w:color w:val="auto"/>
        </w:rPr>
      </w:pPr>
    </w:p>
    <w:p>
      <w:pPr>
        <w:ind w:left="180" w:right="260"/>
        <w:spacing w:after="0" w:line="387" w:lineRule="auto"/>
        <w:rPr>
          <w:sz w:val="20"/>
          <w:szCs w:val="20"/>
          <w:color w:val="auto"/>
        </w:rPr>
      </w:pPr>
      <w:r>
        <w:rPr>
          <w:rFonts w:ascii="Times New Roman" w:cs="Times New Roman" w:eastAsia="Times New Roman" w:hAnsi="Times New Roman"/>
          <w:sz w:val="12"/>
          <w:szCs w:val="12"/>
          <w:color w:val="auto"/>
        </w:rPr>
        <w:t>Distribution reinvestments Net income</w:t>
      </w:r>
    </w:p>
    <w:p>
      <w:pPr>
        <w:ind w:left="180" w:right="360"/>
        <w:spacing w:after="0" w:line="366" w:lineRule="auto"/>
        <w:rPr>
          <w:sz w:val="20"/>
          <w:szCs w:val="20"/>
          <w:color w:val="auto"/>
        </w:rPr>
      </w:pPr>
      <w:r>
        <w:rPr>
          <w:rFonts w:ascii="Times New Roman" w:cs="Times New Roman" w:eastAsia="Times New Roman" w:hAnsi="Times New Roman"/>
          <w:sz w:val="10"/>
          <w:szCs w:val="10"/>
          <w:color w:val="auto"/>
        </w:rPr>
        <w:t>Contributions from non-controlling interests</w:t>
      </w:r>
    </w:p>
    <w:p>
      <w:pPr>
        <w:ind w:left="180" w:right="20"/>
        <w:spacing w:after="0" w:line="262" w:lineRule="auto"/>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25" w:lineRule="exact"/>
        <w:rPr>
          <w:sz w:val="20"/>
          <w:szCs w:val="20"/>
          <w:color w:val="auto"/>
        </w:rPr>
      </w:pPr>
    </w:p>
    <w:p>
      <w:pPr>
        <w:ind w:left="180"/>
        <w:spacing w:after="0" w:line="262" w:lineRule="auto"/>
        <w:rPr>
          <w:sz w:val="20"/>
          <w:szCs w:val="20"/>
          <w:color w:val="auto"/>
        </w:rPr>
      </w:pPr>
      <w:r>
        <w:rPr>
          <w:rFonts w:ascii="Times New Roman" w:cs="Times New Roman" w:eastAsia="Times New Roman" w:hAnsi="Times New Roman"/>
          <w:sz w:val="13"/>
          <w:szCs w:val="13"/>
          <w:color w:val="auto"/>
        </w:rPr>
        <w:t>Amortization of restricted stock grants</w:t>
      </w:r>
    </w:p>
    <w:p>
      <w:pPr>
        <w:spacing w:after="0" w:line="25" w:lineRule="exact"/>
        <w:rPr>
          <w:sz w:val="20"/>
          <w:szCs w:val="20"/>
          <w:color w:val="auto"/>
        </w:rPr>
      </w:pPr>
    </w:p>
    <w:p>
      <w:pPr>
        <w:ind w:left="180" w:right="80"/>
        <w:spacing w:after="0" w:line="262" w:lineRule="auto"/>
        <w:rPr>
          <w:sz w:val="20"/>
          <w:szCs w:val="20"/>
          <w:color w:val="auto"/>
        </w:rPr>
      </w:pPr>
      <w:r>
        <w:rPr>
          <w:rFonts w:ascii="Times New Roman" w:cs="Times New Roman" w:eastAsia="Times New Roman" w:hAnsi="Times New Roman"/>
          <w:sz w:val="13"/>
          <w:szCs w:val="13"/>
          <w:color w:val="auto"/>
        </w:rPr>
        <w:t>Allocation to redeemable non-controlling interest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p>
      <w:pPr>
        <w:spacing w:after="0" w:line="69" w:lineRule="exact"/>
        <w:rPr>
          <w:sz w:val="20"/>
          <w:szCs w:val="20"/>
          <w:color w:val="auto"/>
        </w:rPr>
      </w:pPr>
    </w:p>
    <w:p>
      <w:pPr>
        <w:ind w:left="180" w:right="140"/>
        <w:spacing w:after="0" w:line="262" w:lineRule="auto"/>
        <w:rPr>
          <w:sz w:val="20"/>
          <w:szCs w:val="20"/>
          <w:color w:val="auto"/>
        </w:rPr>
      </w:pPr>
      <w:r>
        <w:rPr>
          <w:rFonts w:ascii="Times New Roman" w:cs="Times New Roman" w:eastAsia="Times New Roman" w:hAnsi="Times New Roman"/>
          <w:sz w:val="13"/>
          <w:szCs w:val="13"/>
          <w:color w:val="auto"/>
        </w:rPr>
        <w:t>Common stock issued, net of offering costs</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Common stock repurchased</w:t>
      </w:r>
    </w:p>
    <w:p>
      <w:pPr>
        <w:spacing w:after="0" w:line="67" w:lineRule="exact"/>
        <w:rPr>
          <w:sz w:val="20"/>
          <w:szCs w:val="20"/>
          <w:color w:val="auto"/>
        </w:rPr>
      </w:pPr>
    </w:p>
    <w:p>
      <w:pPr>
        <w:ind w:left="180" w:right="320"/>
        <w:spacing w:after="0" w:line="262" w:lineRule="auto"/>
        <w:rPr>
          <w:sz w:val="20"/>
          <w:szCs w:val="20"/>
          <w:color w:val="auto"/>
        </w:rPr>
      </w:pPr>
      <w:r>
        <w:rPr>
          <w:rFonts w:ascii="Times New Roman" w:cs="Times New Roman" w:eastAsia="Times New Roman" w:hAnsi="Times New Roman"/>
          <w:sz w:val="13"/>
          <w:szCs w:val="13"/>
          <w:color w:val="auto"/>
        </w:rPr>
        <w:t>Distributions declared on common stock</w:t>
      </w:r>
    </w:p>
    <w:p>
      <w:pPr>
        <w:spacing w:after="0" w:line="25" w:lineRule="exact"/>
        <w:rPr>
          <w:sz w:val="20"/>
          <w:szCs w:val="20"/>
          <w:color w:val="auto"/>
        </w:rPr>
      </w:pPr>
    </w:p>
    <w:p>
      <w:pPr>
        <w:ind w:left="180" w:right="100"/>
        <w:spacing w:after="0" w:line="409" w:lineRule="auto"/>
        <w:rPr>
          <w:sz w:val="20"/>
          <w:szCs w:val="20"/>
          <w:color w:val="auto"/>
        </w:rPr>
      </w:pPr>
      <w:r>
        <w:rPr>
          <w:rFonts w:ascii="Times New Roman" w:cs="Times New Roman" w:eastAsia="Times New Roman" w:hAnsi="Times New Roman"/>
          <w:sz w:val="10"/>
          <w:szCs w:val="10"/>
          <w:color w:val="auto"/>
        </w:rPr>
        <w:t>Distribution reinvestments Net income (loss) ($8 income</w:t>
      </w:r>
    </w:p>
    <w:p>
      <w:pPr>
        <w:ind w:left="180" w:right="140"/>
        <w:spacing w:after="0" w:line="228" w:lineRule="auto"/>
        <w:rPr>
          <w:sz w:val="20"/>
          <w:szCs w:val="20"/>
          <w:color w:val="auto"/>
        </w:rPr>
      </w:pPr>
      <w:r>
        <w:rPr>
          <w:rFonts w:ascii="Times New Roman" w:cs="Times New Roman" w:eastAsia="Times New Roman" w:hAnsi="Times New Roman"/>
          <w:sz w:val="13"/>
          <w:szCs w:val="13"/>
          <w:color w:val="auto"/>
        </w:rPr>
        <w:t>allocated to redeemable non-controlling interest)</w:t>
      </w:r>
    </w:p>
    <w:p>
      <w:pPr>
        <w:spacing w:after="0" w:line="53" w:lineRule="exact"/>
        <w:rPr>
          <w:sz w:val="20"/>
          <w:szCs w:val="20"/>
          <w:color w:val="auto"/>
        </w:rPr>
      </w:pPr>
    </w:p>
    <w:p>
      <w:pPr>
        <w:ind w:left="180" w:right="360"/>
        <w:spacing w:after="0" w:line="366" w:lineRule="auto"/>
        <w:rPr>
          <w:sz w:val="20"/>
          <w:szCs w:val="20"/>
          <w:color w:val="auto"/>
        </w:rPr>
      </w:pPr>
      <w:r>
        <w:rPr>
          <w:rFonts w:ascii="Times New Roman" w:cs="Times New Roman" w:eastAsia="Times New Roman" w:hAnsi="Times New Roman"/>
          <w:sz w:val="10"/>
          <w:szCs w:val="10"/>
          <w:color w:val="auto"/>
        </w:rPr>
        <w:t>Contributions from non-controlling interests</w:t>
      </w:r>
    </w:p>
    <w:p>
      <w:pPr>
        <w:ind w:left="180" w:right="20"/>
        <w:spacing w:after="0" w:line="262" w:lineRule="auto"/>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25" w:lineRule="exact"/>
        <w:rPr>
          <w:sz w:val="20"/>
          <w:szCs w:val="20"/>
          <w:color w:val="auto"/>
        </w:rPr>
      </w:pPr>
    </w:p>
    <w:p>
      <w:pPr>
        <w:ind w:left="180"/>
        <w:spacing w:after="0" w:line="262" w:lineRule="auto"/>
        <w:rPr>
          <w:sz w:val="20"/>
          <w:szCs w:val="20"/>
          <w:color w:val="auto"/>
        </w:rPr>
      </w:pPr>
      <w:r>
        <w:rPr>
          <w:rFonts w:ascii="Times New Roman" w:cs="Times New Roman" w:eastAsia="Times New Roman" w:hAnsi="Times New Roman"/>
          <w:sz w:val="13"/>
          <w:szCs w:val="13"/>
          <w:color w:val="auto"/>
        </w:rPr>
        <w:t>Amortization of restricted stock grants</w:t>
      </w:r>
    </w:p>
    <w:p>
      <w:pPr>
        <w:spacing w:after="0" w:line="25" w:lineRule="exact"/>
        <w:rPr>
          <w:sz w:val="20"/>
          <w:szCs w:val="20"/>
          <w:color w:val="auto"/>
        </w:rPr>
      </w:pPr>
    </w:p>
    <w:p>
      <w:pPr>
        <w:ind w:left="180" w:right="80"/>
        <w:spacing w:after="0" w:line="262" w:lineRule="auto"/>
        <w:rPr>
          <w:sz w:val="20"/>
          <w:szCs w:val="20"/>
          <w:color w:val="auto"/>
        </w:rPr>
      </w:pPr>
      <w:r>
        <w:rPr>
          <w:rFonts w:ascii="Times New Roman" w:cs="Times New Roman" w:eastAsia="Times New Roman" w:hAnsi="Times New Roman"/>
          <w:sz w:val="13"/>
          <w:szCs w:val="13"/>
          <w:color w:val="auto"/>
        </w:rPr>
        <w:t>Allocation to redeemable non-controlling interest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0"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78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2"/>
                <w:szCs w:val="12"/>
                <w:color w:val="auto"/>
              </w:rPr>
            </w:pPr>
          </w:p>
        </w:tc>
        <w:tc>
          <w:tcPr>
            <w:tcW w:w="78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2"/>
                <w:szCs w:val="12"/>
                <w:color w:val="auto"/>
              </w:rPr>
            </w:pPr>
          </w:p>
        </w:tc>
        <w:tc>
          <w:tcPr>
            <w:tcW w:w="76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00" w:type="dxa"/>
            <w:vAlign w:val="bottom"/>
          </w:tcPr>
          <w:p>
            <w:pPr>
              <w:spacing w:after="0"/>
              <w:rPr>
                <w:sz w:val="12"/>
                <w:szCs w:val="12"/>
                <w:color w:val="auto"/>
              </w:rPr>
            </w:pPr>
          </w:p>
        </w:tc>
        <w:tc>
          <w:tcPr>
            <w:tcW w:w="76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2"/>
                <w:szCs w:val="12"/>
                <w:color w:val="auto"/>
              </w:rPr>
            </w:pPr>
          </w:p>
        </w:tc>
        <w:tc>
          <w:tcPr>
            <w:tcW w:w="7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2"/>
                <w:szCs w:val="12"/>
                <w:color w:val="auto"/>
              </w:rPr>
            </w:pP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20" w:type="dxa"/>
            <w:vAlign w:val="bottom"/>
          </w:tcPr>
          <w:p>
            <w:pPr>
              <w:spacing w:after="0"/>
              <w:rPr>
                <w:sz w:val="12"/>
                <w:szCs w:val="12"/>
                <w:color w:val="auto"/>
              </w:rPr>
            </w:pPr>
          </w:p>
        </w:tc>
        <w:tc>
          <w:tcPr>
            <w:tcW w:w="76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Pr>
          <w:p>
            <w:pPr>
              <w:spacing w:after="0"/>
              <w:rPr>
                <w:sz w:val="12"/>
                <w:szCs w:val="12"/>
                <w:color w:val="auto"/>
              </w:rPr>
            </w:pPr>
          </w:p>
        </w:tc>
        <w:tc>
          <w:tcPr>
            <w:tcW w:w="82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780" w:type="dxa"/>
            <w:vAlign w:val="bottom"/>
          </w:tcPr>
          <w:p>
            <w:pPr>
              <w:jc w:val="center"/>
              <w:ind w:righ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780" w:type="dxa"/>
            <w:vAlign w:val="bottom"/>
          </w:tcPr>
          <w:p>
            <w:pPr>
              <w:jc w:val="center"/>
              <w:ind w:righ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760" w:type="dxa"/>
            <w:vAlign w:val="bottom"/>
          </w:tcPr>
          <w:p>
            <w:pPr>
              <w:jc w:val="center"/>
              <w:ind w:right="1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1"/>
                <w:szCs w:val="11"/>
                <w:color w:val="auto"/>
              </w:rPr>
            </w:pPr>
          </w:p>
        </w:tc>
        <w:tc>
          <w:tcPr>
            <w:tcW w:w="760" w:type="dxa"/>
            <w:vAlign w:val="bottom"/>
          </w:tcPr>
          <w:p>
            <w:pPr>
              <w:jc w:val="center"/>
              <w:ind w:right="1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74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40" w:type="dxa"/>
            <w:vAlign w:val="bottom"/>
          </w:tcPr>
          <w:p>
            <w:pPr>
              <w:spacing w:after="0"/>
              <w:rPr>
                <w:sz w:val="11"/>
                <w:szCs w:val="11"/>
                <w:color w:val="auto"/>
              </w:rPr>
            </w:pPr>
          </w:p>
        </w:tc>
        <w:tc>
          <w:tcPr>
            <w:tcW w:w="820" w:type="dxa"/>
            <w:vAlign w:val="bottom"/>
          </w:tcPr>
          <w:p>
            <w:pPr>
              <w:jc w:val="center"/>
              <w:ind w:right="9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20" w:type="dxa"/>
            <w:vAlign w:val="bottom"/>
          </w:tcPr>
          <w:p>
            <w:pPr>
              <w:spacing w:after="0"/>
              <w:rPr>
                <w:sz w:val="11"/>
                <w:szCs w:val="11"/>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Class D</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Class I</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Class T</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Class E</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Class Y</w:t>
            </w: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1,059,266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(98,144)</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962,113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14,001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976,114</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23,350</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23,371</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23,371</w:t>
            </w: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(6,218)</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(6,223)</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(6,223)</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(12,816)</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7,517</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7,524</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363</w:t>
            </w:r>
          </w:p>
        </w:tc>
        <w:tc>
          <w:tcPr>
            <w:tcW w:w="220" w:type="dxa"/>
            <w:vAlign w:val="bottom"/>
          </w:tcPr>
          <w:p>
            <w:pPr>
              <w:spacing w:after="0"/>
              <w:rPr>
                <w:sz w:val="18"/>
                <w:szCs w:val="18"/>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363</w:t>
            </w:r>
          </w:p>
        </w:tc>
        <w:tc>
          <w:tcPr>
            <w:tcW w:w="14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690</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(472)</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97"/>
        </w:trPr>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1,083,935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(110,597)</w:t>
            </w: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974,352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14,142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988,494</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7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7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7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0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1"/>
                <w:szCs w:val="11"/>
                <w:color w:val="auto"/>
              </w:rPr>
            </w:pPr>
          </w:p>
        </w:tc>
        <w:tc>
          <w:tcPr>
            <w:tcW w:w="8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20" w:type="dxa"/>
            <w:vAlign w:val="bottom"/>
          </w:tcPr>
          <w:p>
            <w:pPr>
              <w:spacing w:after="0"/>
              <w:rPr>
                <w:sz w:val="11"/>
                <w:szCs w:val="11"/>
                <w:color w:val="auto"/>
              </w:rPr>
            </w:pPr>
          </w:p>
        </w:tc>
        <w:tc>
          <w:tcPr>
            <w:tcW w:w="7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Pr>
          <w:p>
            <w:pPr>
              <w:spacing w:after="0"/>
              <w:rPr>
                <w:sz w:val="11"/>
                <w:szCs w:val="11"/>
                <w:color w:val="auto"/>
              </w:rPr>
            </w:pPr>
          </w:p>
        </w:tc>
        <w:tc>
          <w:tcPr>
            <w:tcW w:w="8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780" w:type="dxa"/>
            <w:vAlign w:val="bottom"/>
          </w:tcPr>
          <w:p>
            <w:pPr>
              <w:jc w:val="center"/>
              <w:ind w:right="1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0"/>
                <w:szCs w:val="10"/>
                <w:color w:val="auto"/>
              </w:rPr>
            </w:pPr>
          </w:p>
        </w:tc>
        <w:tc>
          <w:tcPr>
            <w:tcW w:w="780" w:type="dxa"/>
            <w:vAlign w:val="bottom"/>
          </w:tcPr>
          <w:p>
            <w:pPr>
              <w:jc w:val="center"/>
              <w:ind w:right="1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0"/>
                <w:szCs w:val="10"/>
                <w:color w:val="auto"/>
              </w:rPr>
            </w:pPr>
          </w:p>
        </w:tc>
        <w:tc>
          <w:tcPr>
            <w:tcW w:w="760" w:type="dxa"/>
            <w:vAlign w:val="bottom"/>
          </w:tcPr>
          <w:p>
            <w:pPr>
              <w:jc w:val="center"/>
              <w:ind w:right="11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0"/>
                <w:szCs w:val="10"/>
                <w:color w:val="auto"/>
              </w:rPr>
            </w:pPr>
          </w:p>
        </w:tc>
        <w:tc>
          <w:tcPr>
            <w:tcW w:w="760" w:type="dxa"/>
            <w:vAlign w:val="bottom"/>
          </w:tcPr>
          <w:p>
            <w:pPr>
              <w:jc w:val="center"/>
              <w:ind w:right="11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0"/>
                <w:szCs w:val="10"/>
                <w:color w:val="auto"/>
              </w:rPr>
            </w:pPr>
          </w:p>
        </w:tc>
        <w:tc>
          <w:tcPr>
            <w:tcW w:w="74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40" w:type="dxa"/>
            <w:vAlign w:val="bottom"/>
          </w:tcPr>
          <w:p>
            <w:pPr>
              <w:spacing w:after="0"/>
              <w:rPr>
                <w:sz w:val="10"/>
                <w:szCs w:val="10"/>
                <w:color w:val="auto"/>
              </w:rPr>
            </w:pPr>
          </w:p>
        </w:tc>
        <w:tc>
          <w:tcPr>
            <w:tcW w:w="820" w:type="dxa"/>
            <w:vAlign w:val="bottom"/>
          </w:tcPr>
          <w:p>
            <w:pPr>
              <w:jc w:val="center"/>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Class D</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rPr>
              <w:t>Class I</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Class 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Class E</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Class Y</w:t>
            </w: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3"/>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735,421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(45,051)</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691,062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10,916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701,978</w:t>
            </w: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53,472</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53,522</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53,522</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(4,811)</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(4,816)</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(4,816)</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(8,217)</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(8,217)</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(8,217)</w:t>
            </w: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4,129</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4,133</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4,133</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(6,419)</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(6,419)</w:t>
            </w:r>
          </w:p>
        </w:tc>
        <w:tc>
          <w:tcPr>
            <w:tcW w:w="14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(6,688)</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3,359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97"/>
        </w:trPr>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788,205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(59,687)</w:t>
            </w: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729,259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13,775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743,034</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-4782820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-4422775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-4062730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-3779520</wp:posOffset>
            </wp:positionV>
            <wp:extent cx="71323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-3333750</wp:posOffset>
            </wp:positionV>
            <wp:extent cx="713232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-2887980</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-2236470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-1876425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-1517015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-1053465</wp:posOffset>
            </wp:positionV>
            <wp:extent cx="71323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-607695</wp:posOffset>
            </wp:positionV>
            <wp:extent cx="71323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-162560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1700" w:space="80"/>
            <w:col w:w="946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p>
      <w:pPr>
        <w:spacing w:after="0" w:line="69" w:lineRule="exact"/>
        <w:rPr>
          <w:sz w:val="20"/>
          <w:szCs w:val="20"/>
          <w:color w:val="auto"/>
        </w:rPr>
      </w:pPr>
    </w:p>
    <w:p>
      <w:pPr>
        <w:ind w:left="180" w:right="140"/>
        <w:spacing w:after="0" w:line="262" w:lineRule="auto"/>
        <w:rPr>
          <w:sz w:val="20"/>
          <w:szCs w:val="20"/>
          <w:color w:val="auto"/>
        </w:rPr>
      </w:pPr>
      <w:r>
        <w:rPr>
          <w:rFonts w:ascii="Times New Roman" w:cs="Times New Roman" w:eastAsia="Times New Roman" w:hAnsi="Times New Roman"/>
          <w:sz w:val="13"/>
          <w:szCs w:val="13"/>
          <w:color w:val="auto"/>
        </w:rPr>
        <w:t>Common stock issued, net of offering costs</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Common stock repurchased</w:t>
      </w:r>
    </w:p>
    <w:p>
      <w:pPr>
        <w:spacing w:after="0" w:line="67" w:lineRule="exact"/>
        <w:rPr>
          <w:sz w:val="20"/>
          <w:szCs w:val="20"/>
          <w:color w:val="auto"/>
        </w:rPr>
      </w:pPr>
    </w:p>
    <w:p>
      <w:pPr>
        <w:ind w:left="180" w:right="320"/>
        <w:spacing w:after="0" w:line="262" w:lineRule="auto"/>
        <w:rPr>
          <w:sz w:val="20"/>
          <w:szCs w:val="20"/>
          <w:color w:val="auto"/>
        </w:rPr>
      </w:pPr>
      <w:r>
        <w:rPr>
          <w:rFonts w:ascii="Times New Roman" w:cs="Times New Roman" w:eastAsia="Times New Roman" w:hAnsi="Times New Roman"/>
          <w:sz w:val="13"/>
          <w:szCs w:val="13"/>
          <w:color w:val="auto"/>
        </w:rPr>
        <w:t>Distributions declared on common stock</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Distribution reinvestments</w:t>
      </w:r>
    </w:p>
    <w:p>
      <w:pPr>
        <w:spacing w:after="0" w:line="67" w:lineRule="exact"/>
        <w:rPr>
          <w:sz w:val="20"/>
          <w:szCs w:val="20"/>
          <w:color w:val="auto"/>
        </w:rPr>
      </w:pPr>
    </w:p>
    <w:p>
      <w:pPr>
        <w:jc w:val="both"/>
        <w:ind w:left="180" w:right="160"/>
        <w:spacing w:after="0" w:line="250" w:lineRule="auto"/>
        <w:rPr>
          <w:sz w:val="20"/>
          <w:szCs w:val="20"/>
          <w:color w:val="auto"/>
        </w:rPr>
      </w:pPr>
      <w:r>
        <w:rPr>
          <w:rFonts w:ascii="Times New Roman" w:cs="Times New Roman" w:eastAsia="Times New Roman" w:hAnsi="Times New Roman"/>
          <w:sz w:val="13"/>
          <w:szCs w:val="13"/>
          <w:color w:val="auto"/>
        </w:rPr>
        <w:t>Net loss ($1 loss allocated to redeemable non-controlling interest)</w:t>
      </w:r>
    </w:p>
    <w:p>
      <w:pPr>
        <w:spacing w:after="0" w:line="32" w:lineRule="exact"/>
        <w:rPr>
          <w:sz w:val="20"/>
          <w:szCs w:val="20"/>
          <w:color w:val="auto"/>
        </w:rPr>
      </w:pPr>
    </w:p>
    <w:p>
      <w:pPr>
        <w:ind w:left="180" w:right="360"/>
        <w:spacing w:after="0" w:line="366" w:lineRule="auto"/>
        <w:rPr>
          <w:sz w:val="20"/>
          <w:szCs w:val="20"/>
          <w:color w:val="auto"/>
        </w:rPr>
      </w:pPr>
      <w:r>
        <w:rPr>
          <w:rFonts w:ascii="Times New Roman" w:cs="Times New Roman" w:eastAsia="Times New Roman" w:hAnsi="Times New Roman"/>
          <w:sz w:val="10"/>
          <w:szCs w:val="10"/>
          <w:color w:val="auto"/>
        </w:rPr>
        <w:t>Contributions from non-controlling interests</w:t>
      </w:r>
    </w:p>
    <w:p>
      <w:pPr>
        <w:ind w:left="180" w:right="20"/>
        <w:spacing w:after="0" w:line="262" w:lineRule="auto"/>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25" w:lineRule="exact"/>
        <w:rPr>
          <w:sz w:val="20"/>
          <w:szCs w:val="20"/>
          <w:color w:val="auto"/>
        </w:rPr>
      </w:pPr>
    </w:p>
    <w:p>
      <w:pPr>
        <w:ind w:left="180"/>
        <w:spacing w:after="0" w:line="262" w:lineRule="auto"/>
        <w:rPr>
          <w:sz w:val="20"/>
          <w:szCs w:val="20"/>
          <w:color w:val="auto"/>
        </w:rPr>
      </w:pPr>
      <w:r>
        <w:rPr>
          <w:rFonts w:ascii="Times New Roman" w:cs="Times New Roman" w:eastAsia="Times New Roman" w:hAnsi="Times New Roman"/>
          <w:sz w:val="13"/>
          <w:szCs w:val="13"/>
          <w:color w:val="auto"/>
        </w:rPr>
        <w:t>Amortization of restricted stock grants</w:t>
      </w:r>
    </w:p>
    <w:p>
      <w:pPr>
        <w:spacing w:after="0" w:line="25" w:lineRule="exact"/>
        <w:rPr>
          <w:sz w:val="20"/>
          <w:szCs w:val="20"/>
          <w:color w:val="auto"/>
        </w:rPr>
      </w:pPr>
    </w:p>
    <w:p>
      <w:pPr>
        <w:ind w:left="180" w:right="80"/>
        <w:spacing w:after="0" w:line="262" w:lineRule="auto"/>
        <w:rPr>
          <w:sz w:val="20"/>
          <w:szCs w:val="20"/>
          <w:color w:val="auto"/>
        </w:rPr>
      </w:pPr>
      <w:r>
        <w:rPr>
          <w:rFonts w:ascii="Times New Roman" w:cs="Times New Roman" w:eastAsia="Times New Roman" w:hAnsi="Times New Roman"/>
          <w:sz w:val="13"/>
          <w:szCs w:val="13"/>
          <w:color w:val="auto"/>
        </w:rPr>
        <w:t>Allocation to redeemable non-controlling interest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p>
      <w:pPr>
        <w:spacing w:after="0" w:line="69" w:lineRule="exact"/>
        <w:rPr>
          <w:sz w:val="20"/>
          <w:szCs w:val="20"/>
          <w:color w:val="auto"/>
        </w:rPr>
      </w:pPr>
    </w:p>
    <w:p>
      <w:pPr>
        <w:ind w:left="180" w:right="140"/>
        <w:spacing w:after="0"/>
        <w:rPr>
          <w:sz w:val="20"/>
          <w:szCs w:val="20"/>
          <w:color w:val="auto"/>
        </w:rPr>
      </w:pPr>
      <w:r>
        <w:rPr>
          <w:rFonts w:ascii="Times New Roman" w:cs="Times New Roman" w:eastAsia="Times New Roman" w:hAnsi="Times New Roman"/>
          <w:sz w:val="13"/>
          <w:szCs w:val="13"/>
          <w:color w:val="auto"/>
        </w:rPr>
        <w:t>Common stock issued, net of offering costs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Common stock repurchased</w:t>
      </w:r>
    </w:p>
    <w:p>
      <w:pPr>
        <w:spacing w:after="0" w:line="67" w:lineRule="exact"/>
        <w:rPr>
          <w:sz w:val="20"/>
          <w:szCs w:val="20"/>
          <w:color w:val="auto"/>
        </w:rPr>
      </w:pPr>
    </w:p>
    <w:p>
      <w:pPr>
        <w:ind w:left="180" w:right="320"/>
        <w:spacing w:after="0"/>
        <w:rPr>
          <w:sz w:val="20"/>
          <w:szCs w:val="20"/>
          <w:color w:val="auto"/>
        </w:rPr>
      </w:pPr>
      <w:r>
        <w:rPr>
          <w:rFonts w:ascii="Times New Roman" w:cs="Times New Roman" w:eastAsia="Times New Roman" w:hAnsi="Times New Roman"/>
          <w:sz w:val="13"/>
          <w:szCs w:val="13"/>
          <w:color w:val="auto"/>
        </w:rPr>
        <w:t>Distributions declared on common stock</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Distribution reinvestments</w:t>
      </w:r>
    </w:p>
    <w:p>
      <w:pPr>
        <w:spacing w:after="0" w:line="67" w:lineRule="exact"/>
        <w:rPr>
          <w:sz w:val="20"/>
          <w:szCs w:val="20"/>
          <w:color w:val="auto"/>
        </w:rPr>
      </w:pPr>
    </w:p>
    <w:p>
      <w:pPr>
        <w:ind w:left="180" w:right="100"/>
        <w:spacing w:after="0" w:line="310" w:lineRule="auto"/>
        <w:rPr>
          <w:sz w:val="20"/>
          <w:szCs w:val="20"/>
          <w:color w:val="auto"/>
        </w:rPr>
      </w:pPr>
      <w:r>
        <w:rPr>
          <w:rFonts w:ascii="Times New Roman" w:cs="Times New Roman" w:eastAsia="Times New Roman" w:hAnsi="Times New Roman"/>
          <w:sz w:val="10"/>
          <w:szCs w:val="10"/>
          <w:color w:val="auto"/>
        </w:rPr>
        <w:t>Net income (loss) ($6 income allocated to redeemable non-</w:t>
      </w:r>
    </w:p>
    <w:p>
      <w:pPr>
        <w:ind w:left="180"/>
        <w:spacing w:after="0"/>
        <w:rPr>
          <w:sz w:val="20"/>
          <w:szCs w:val="20"/>
          <w:color w:val="auto"/>
        </w:rPr>
      </w:pPr>
      <w:r>
        <w:rPr>
          <w:rFonts w:ascii="Times New Roman" w:cs="Times New Roman" w:eastAsia="Times New Roman" w:hAnsi="Times New Roman"/>
          <w:sz w:val="13"/>
          <w:szCs w:val="13"/>
          <w:color w:val="auto"/>
        </w:rPr>
        <w:t>controlling interest)</w:t>
      </w:r>
    </w:p>
    <w:p>
      <w:pPr>
        <w:spacing w:after="0" w:line="53" w:lineRule="exact"/>
        <w:rPr>
          <w:sz w:val="20"/>
          <w:szCs w:val="20"/>
          <w:color w:val="auto"/>
        </w:rPr>
      </w:pPr>
    </w:p>
    <w:p>
      <w:pPr>
        <w:ind w:left="180" w:right="360"/>
        <w:spacing w:after="0" w:line="366" w:lineRule="auto"/>
        <w:rPr>
          <w:sz w:val="20"/>
          <w:szCs w:val="20"/>
          <w:color w:val="auto"/>
        </w:rPr>
      </w:pPr>
      <w:r>
        <w:rPr>
          <w:rFonts w:ascii="Times New Roman" w:cs="Times New Roman" w:eastAsia="Times New Roman" w:hAnsi="Times New Roman"/>
          <w:sz w:val="10"/>
          <w:szCs w:val="10"/>
          <w:color w:val="auto"/>
        </w:rPr>
        <w:t>Contributions from non-controlling interests</w:t>
      </w:r>
    </w:p>
    <w:p>
      <w:pPr>
        <w:ind w:left="180" w:right="20"/>
        <w:spacing w:after="0"/>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Amortization of restricted stock grants</w:t>
      </w:r>
    </w:p>
    <w:p>
      <w:pPr>
        <w:spacing w:after="0" w:line="52" w:lineRule="exact"/>
        <w:rPr>
          <w:sz w:val="20"/>
          <w:szCs w:val="20"/>
          <w:color w:val="auto"/>
        </w:rPr>
      </w:pPr>
    </w:p>
    <w:p>
      <w:pPr>
        <w:ind w:left="180" w:right="80"/>
        <w:spacing w:after="0"/>
        <w:rPr>
          <w:sz w:val="20"/>
          <w:szCs w:val="20"/>
          <w:color w:val="auto"/>
        </w:rPr>
      </w:pPr>
      <w:r>
        <w:rPr>
          <w:rFonts w:ascii="Times New Roman" w:cs="Times New Roman" w:eastAsia="Times New Roman" w:hAnsi="Times New Roman"/>
          <w:sz w:val="13"/>
          <w:szCs w:val="13"/>
          <w:color w:val="auto"/>
        </w:rPr>
        <w:t>Allocation to redeemable non-controlling interest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0"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2"/>
                <w:szCs w:val="12"/>
                <w:color w:val="auto"/>
              </w:rPr>
            </w:pPr>
          </w:p>
        </w:tc>
        <w:tc>
          <w:tcPr>
            <w:tcW w:w="76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80" w:type="dxa"/>
            <w:vAlign w:val="bottom"/>
          </w:tcPr>
          <w:p>
            <w:pPr>
              <w:spacing w:after="0"/>
              <w:rPr>
                <w:sz w:val="12"/>
                <w:szCs w:val="12"/>
                <w:color w:val="auto"/>
              </w:rPr>
            </w:pPr>
          </w:p>
        </w:tc>
        <w:tc>
          <w:tcPr>
            <w:tcW w:w="74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0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Accumulated</w:t>
            </w:r>
          </w:p>
        </w:tc>
        <w:tc>
          <w:tcPr>
            <w:tcW w:w="220" w:type="dxa"/>
            <w:vAlign w:val="bottom"/>
          </w:tcPr>
          <w:p>
            <w:pPr>
              <w:spacing w:after="0"/>
              <w:rPr>
                <w:sz w:val="12"/>
                <w:szCs w:val="12"/>
                <w:color w:val="auto"/>
              </w:rPr>
            </w:pPr>
          </w:p>
        </w:tc>
        <w:tc>
          <w:tcPr>
            <w:tcW w:w="76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117"/>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1"/>
                <w:szCs w:val="11"/>
                <w:color w:val="auto"/>
              </w:rPr>
            </w:pPr>
          </w:p>
        </w:tc>
        <w:tc>
          <w:tcPr>
            <w:tcW w:w="76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7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1"/>
                <w:szCs w:val="11"/>
                <w:color w:val="auto"/>
              </w:rPr>
            </w:pPr>
          </w:p>
        </w:tc>
        <w:tc>
          <w:tcPr>
            <w:tcW w:w="760" w:type="dxa"/>
            <w:vAlign w:val="bottom"/>
          </w:tcPr>
          <w:p>
            <w:pPr>
              <w:jc w:val="right"/>
              <w:ind w:right="237"/>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1"/>
                <w:szCs w:val="11"/>
                <w:color w:val="auto"/>
              </w:rPr>
            </w:pPr>
          </w:p>
        </w:tc>
        <w:tc>
          <w:tcPr>
            <w:tcW w:w="7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80" w:type="dxa"/>
            <w:vAlign w:val="bottom"/>
            <w:gridSpan w:val="2"/>
          </w:tcPr>
          <w:p>
            <w:pPr>
              <w:jc w:val="center"/>
              <w:ind w:left="17"/>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Class D</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Class I</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Class T</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Class 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Class Y</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Paid-In Capital</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844,236</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(74,128)</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770,901</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783,292</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234,385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234,385</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spacing w:after="0"/>
              <w:rPr>
                <w:sz w:val="24"/>
                <w:szCs w:val="24"/>
                <w:color w:val="auto"/>
              </w:rPr>
            </w:pP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(14,179)</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(35,138)</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(35,138)</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19,669</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(1,682)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3,113</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1,083,935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974,352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14,142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988,494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1"/>
                <w:szCs w:val="11"/>
                <w:color w:val="auto"/>
              </w:rPr>
            </w:pPr>
          </w:p>
        </w:tc>
        <w:tc>
          <w:tcPr>
            <w:tcW w:w="7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00" w:type="dxa"/>
            <w:vAlign w:val="bottom"/>
          </w:tcPr>
          <w:p>
            <w:pPr>
              <w:spacing w:after="0"/>
              <w:rPr>
                <w:sz w:val="11"/>
                <w:szCs w:val="11"/>
                <w:color w:val="auto"/>
              </w:rPr>
            </w:pPr>
          </w:p>
        </w:tc>
        <w:tc>
          <w:tcPr>
            <w:tcW w:w="7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8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6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1"/>
                <w:szCs w:val="11"/>
                <w:color w:val="auto"/>
              </w:rPr>
            </w:pPr>
          </w:p>
        </w:tc>
        <w:tc>
          <w:tcPr>
            <w:tcW w:w="760" w:type="dxa"/>
            <w:vAlign w:val="bottom"/>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0"/>
                <w:szCs w:val="10"/>
                <w:color w:val="auto"/>
              </w:rPr>
            </w:pPr>
          </w:p>
        </w:tc>
        <w:tc>
          <w:tcPr>
            <w:tcW w:w="760" w:type="dxa"/>
            <w:vAlign w:val="bottom"/>
          </w:tcPr>
          <w:p>
            <w:pPr>
              <w:jc w:val="right"/>
              <w:ind w:right="277"/>
              <w:spacing w:after="0" w:line="122"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0"/>
                <w:szCs w:val="10"/>
                <w:color w:val="auto"/>
              </w:rPr>
            </w:pPr>
          </w:p>
        </w:tc>
        <w:tc>
          <w:tcPr>
            <w:tcW w:w="740" w:type="dxa"/>
            <w:vAlign w:val="bottom"/>
          </w:tcPr>
          <w:p>
            <w:pPr>
              <w:jc w:val="center"/>
              <w:ind w:right="1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0"/>
                <w:szCs w:val="10"/>
                <w:color w:val="auto"/>
              </w:rPr>
            </w:pPr>
          </w:p>
        </w:tc>
        <w:tc>
          <w:tcPr>
            <w:tcW w:w="76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257"/>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Class D</w:t>
            </w:r>
          </w:p>
        </w:tc>
        <w:tc>
          <w:tcPr>
            <w:tcW w:w="160" w:type="dxa"/>
            <w:vAlign w:val="bottom"/>
          </w:tcPr>
          <w:p>
            <w:pPr>
              <w:spacing w:after="0"/>
              <w:rPr>
                <w:sz w:val="15"/>
                <w:szCs w:val="15"/>
                <w:color w:val="auto"/>
              </w:rPr>
            </w:pPr>
          </w:p>
        </w:tc>
        <w:tc>
          <w:tcPr>
            <w:tcW w:w="7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Class I</w:t>
            </w:r>
          </w:p>
        </w:tc>
        <w:tc>
          <w:tcPr>
            <w:tcW w:w="180" w:type="dxa"/>
            <w:vAlign w:val="bottom"/>
          </w:tcPr>
          <w:p>
            <w:pPr>
              <w:spacing w:after="0"/>
              <w:rPr>
                <w:sz w:val="15"/>
                <w:szCs w:val="15"/>
                <w:color w:val="auto"/>
              </w:rPr>
            </w:pPr>
          </w:p>
        </w:tc>
        <w:tc>
          <w:tcPr>
            <w:tcW w:w="7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Class S</w:t>
            </w:r>
          </w:p>
        </w:tc>
        <w:tc>
          <w:tcPr>
            <w:tcW w:w="2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Class E</w:t>
            </w: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Class 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76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0"/>
              </w:rPr>
              <w:t>Total Equity</w:t>
            </w:r>
          </w:p>
        </w:tc>
        <w:tc>
          <w:tcPr>
            <w:tcW w:w="0" w:type="dxa"/>
            <w:vAlign w:val="bottom"/>
          </w:tcPr>
          <w:p>
            <w:pPr>
              <w:spacing w:after="0"/>
              <w:rPr>
                <w:sz w:val="1"/>
                <w:szCs w:val="1"/>
                <w:color w:val="auto"/>
              </w:rPr>
            </w:pPr>
          </w:p>
        </w:tc>
      </w:tr>
      <w:tr>
        <w:trPr>
          <w:trHeight w:val="173"/>
        </w:trPr>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186</w:t>
            </w: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329,600</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(33,780)</w:t>
            </w: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296,139</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4,430</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300,569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336</w:t>
            </w:r>
          </w:p>
        </w:tc>
        <w:tc>
          <w:tcPr>
            <w:tcW w:w="18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456,903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457,324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457,324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spacing w:after="0"/>
              <w:rPr>
                <w:sz w:val="24"/>
                <w:szCs w:val="24"/>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(7,807)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(21,200)</w:t>
            </w:r>
          </w:p>
        </w:tc>
        <w:tc>
          <w:tcPr>
            <w:tcW w:w="22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(21,200)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9,486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(4,707)</w:t>
            </w:r>
          </w:p>
        </w:tc>
        <w:tc>
          <w:tcPr>
            <w:tcW w:w="22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(4,707)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12,241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527</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788,205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(59,687)</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729,259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13,775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743,034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-5005705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-4645660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-4285615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-3830955</wp:posOffset>
            </wp:positionV>
            <wp:extent cx="713232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-3385185</wp:posOffset>
            </wp:positionV>
            <wp:extent cx="71323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-2939415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-2228215</wp:posOffset>
            </wp:positionV>
            <wp:extent cx="70548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-1868170</wp:posOffset>
            </wp:positionV>
            <wp:extent cx="70548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-1508125</wp:posOffset>
            </wp:positionV>
            <wp:extent cx="70548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-1053465</wp:posOffset>
            </wp:positionV>
            <wp:extent cx="705485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485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-607695</wp:posOffset>
            </wp:positionV>
            <wp:extent cx="705485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54850" cy="22288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-161925</wp:posOffset>
            </wp:positionV>
            <wp:extent cx="705485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700" w:space="80"/>
            <w:col w:w="946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(in thousands)</w:t>
      </w:r>
    </w:p>
    <w:p>
      <w:pPr>
        <w:spacing w:after="0" w:line="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17780</wp:posOffset>
            </wp:positionV>
            <wp:extent cx="19456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r>
      <w:tr>
        <w:trPr>
          <w:trHeight w:val="127"/>
        </w:trPr>
        <w:tc>
          <w:tcPr>
            <w:tcW w:w="8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above- and below-market lease intangibles,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Straight-line rent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real estate-related and other securities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restricted stock grants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gain on financial instruments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on sale of real estate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loss on financial instruments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value adjustment on mandatorily redeemable instruments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other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due to affiliates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45,382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28,040</w:t>
            </w: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5"/>
        </w:trPr>
        <w:tc>
          <w:tcPr>
            <w:tcW w:w="8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(674,371)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improvements on real estate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of investments in real estate debt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on real estate acquisitions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of deposits on real estate acquisition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Variation margin proceeds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real estate-related and other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real-estate related and other securities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(63,064)</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(751,411)</w:t>
            </w:r>
          </w:p>
        </w:tc>
      </w:tr>
      <w:tr>
        <w:trPr>
          <w:trHeight w:val="30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4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459,854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mandatorily redeemable instruments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under unsecured revolving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45,175</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under unsecured revolving credit facility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on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redeemable non-controlling interest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mortgage notes and debt secured by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104,210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repurchase facility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41,775</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repayments of mortgage notes and debt secured by real estate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481,466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617,504</w:t>
            </w: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4"/>
        </w:trPr>
        <w:tc>
          <w:tcPr>
            <w:tcW w:w="8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(105,867)</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128,392</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-7877175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1" w:right="339"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05"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(in thousands)</w:t>
      </w:r>
    </w:p>
    <w:p>
      <w:pPr>
        <w:spacing w:after="0" w:line="22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17780</wp:posOffset>
            </wp:positionV>
            <wp:extent cx="1688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4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24,603</w:t>
            </w: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18,897</w:t>
            </w:r>
          </w:p>
        </w:tc>
        <w:tc>
          <w:tcPr>
            <w:tcW w:w="0" w:type="dxa"/>
            <w:vAlign w:val="bottom"/>
          </w:tcPr>
          <w:p>
            <w:pPr>
              <w:spacing w:after="0"/>
              <w:rPr>
                <w:sz w:val="1"/>
                <w:szCs w:val="1"/>
                <w:color w:val="auto"/>
              </w:rPr>
            </w:pPr>
          </w:p>
        </w:tc>
      </w:tr>
      <w:tr>
        <w:trPr>
          <w:trHeight w:val="22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31,828</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22,525</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4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26,562</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48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Assumption of mortgage note, net, in conjunction with acquisition of real estate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41,787</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Assumption of working capital in conjunction with acquisition of real estate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distributions</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 re-investments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19,669</w:t>
            </w:r>
          </w:p>
        </w:tc>
        <w:tc>
          <w:tcPr>
            <w:tcW w:w="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capex</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 of deposits to investments in real estate, net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stockholder servicing fee due to affiliate</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contributions to investment in real estate, net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 issued as settlement for performance participation allocation</w:t>
            </w: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equity interest to non-controlling interest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Purpose</w:t>
      </w:r>
    </w:p>
    <w:p>
      <w:pPr>
        <w:spacing w:after="0" w:line="1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J.P. Morgan Real Estate Income Trust, Inc. (the “Company” or “JPMREIT”) was formed on November 5, 2021 as a Maryland corporation and qualifies as a real estate investment trust (“REIT”) for U.S. federal income tax purposes. The Company invests primarily in stabilized, income-generating real estate properties, and to a lesser extent, real estate debt, real estate-related securities and other securities. The Company is the sole general partner of J.P. Morgan REIT Operating Partnership, L.P., a Delaware limited partnership (the “Operating Partnership”). J.P. Morgan REIT OP Special Limited Partner, L.P. (the “Special Limited Partner”), an affiliate of J.P. Morgan Investment Management Inc. (the “Adviser” or “JPMIM” and together with its affiliates “J.P. Morgan”), owns a special limited partner interest in the Operating Partnership. Substantially all of the Company’s business is conducted through the Operating Partnership. The Company and the Operating Partnership are externally managed by JPMIM.</w:t>
      </w:r>
    </w:p>
    <w:p>
      <w:pPr>
        <w:spacing w:after="0" w:line="73" w:lineRule="exact"/>
        <w:rPr>
          <w:sz w:val="20"/>
          <w:szCs w:val="20"/>
          <w:color w:val="auto"/>
        </w:rPr>
      </w:pPr>
    </w:p>
    <w:p>
      <w:pPr>
        <w:jc w:val="both"/>
        <w:ind w:right="440"/>
        <w:spacing w:after="0" w:line="246" w:lineRule="auto"/>
        <w:rPr>
          <w:sz w:val="20"/>
          <w:szCs w:val="20"/>
          <w:color w:val="auto"/>
        </w:rPr>
      </w:pPr>
      <w:r>
        <w:rPr>
          <w:rFonts w:ascii="Times New Roman" w:cs="Times New Roman" w:eastAsia="Times New Roman" w:hAnsi="Times New Roman"/>
          <w:sz w:val="18"/>
          <w:szCs w:val="18"/>
          <w:color w:val="auto"/>
        </w:rPr>
        <w:t>As of September 30, 2026, the Company owned 72 real estate properties consisting of 43 industrial properties, 17 multifamily properties, four retail properties, seven office properties and 126 single-family townhomes that are presented as a single property. The Company also has three commercial mortgage-backed securities (“CMBS”) investments and five real estate debt investments. The Company currently operates in six reportable segments: multifamily, industrial, single-family rental, retail, office and investments in real estate debt, real estate-related and other securities. See Note 15 for a description of the Company's segment reporting.</w:t>
      </w:r>
    </w:p>
    <w:p>
      <w:pPr>
        <w:spacing w:after="0" w:line="8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Company depends on the Adviser and its affiliates for certain services that are essential to it, including acquisition and disposition decisions, and certain other responsibilities. If the Adviser and its affiliates were unable or unwilling to provide such services, the Company would be required to find alternative service providers.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Capitalization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15, 2021, the Company was capitalized with a $0.2 million investment by the Adviser in exchange for 20,000 shares of the Company’s Class E common stock. The Adviser has agreed to not sell, transfer or dispose of the shares to any party other than an affiliate of the Adviser for so long as the Adviser or its affiliate performs an advisory function for the Company.</w:t>
      </w:r>
    </w:p>
    <w:p>
      <w:pPr>
        <w:spacing w:after="0" w:line="6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July 22, 2022, the Company commenced its initial public offering of up to $5.0 billion in shares of common stock pursuant to a Registration Statement on Form S-11 filed with the Securities and Exchange Commission (the “SEC”), consisting of up to $4.0 billion in shares in its primary offering and up to $1.0 billion in shares pursuant to its distribution reinvestment plan. On July 8, 2025, the Company filed a Registration Statement on Form S-11 with the SEC for its second public offering of up to $4.8 billion in shares of common stock, consisting of up to $3.8 billion in shares of common stock in the primary offering and up to $1.0 billion in shares of common stock pursuant to the distribution reinvestment plan. On February 4, 2026, the initial public offering terminated and the Company commenced its second public offering, pursuant to which the Company is selling any combination of four classes of shares of its common stock, Class D shares, Class I shares, Class S shares and Class T shares, with a dollar value up to the maximum offering amount (the Company’s public offerings and together with the Company’s private offerings described below, the “Offerings”). The share classes have different upfront selling commissions and ongoing stockholder servicing fees. The purchase price per share for each class of the Company’s common stock will vary and will generally equal the prior month’s net asset value (“NAV”) per share for such class, as determined monthly, plus any applicable upfront selling commissions and dealer manager fees, provided that until the Company has any Class S shares outstanding, the per-share purchase price for the Company’s Class S shares will equal the most recently determined NAV per share for the Class E shares, plus applicable upfront selling commissions and dealer manager fees.</w:t>
      </w:r>
    </w:p>
    <w:p>
      <w:pPr>
        <w:spacing w:after="0" w:line="8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Pursuant to a separate private offering, as of September 30, 2026, the Company had sold $67.9 million in Class E shares and $94.2 million in Class E units of the Operating Partnership (“Class E units”), including $5.8 million in Class E shares and $94.2 million in Class E units purchased by JPMIM (the “JPM Initial Capitalization” and together with other Class E shares sold pursuant to such private offering, the “Initial Capitalization”). As of September 30, 2026, all shares and units issued in the JPM Initial Capitalization have been repurchased by the Company. See Note 13 for further details.</w:t>
      </w:r>
    </w:p>
    <w:p>
      <w:pPr>
        <w:spacing w:after="0" w:line="65" w:lineRule="exact"/>
        <w:rPr>
          <w:sz w:val="20"/>
          <w:szCs w:val="20"/>
          <w:color w:val="auto"/>
        </w:rPr>
      </w:pPr>
    </w:p>
    <w:p>
      <w:pPr>
        <w:ind w:right="7680" w:firstLine="8"/>
        <w:spacing w:after="0" w:line="37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260"/>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in the opinion of management, include all necessary adjustments, consisting of only normal and recurring items, necessary for a fair statement of the Company’s financial position and results of operations for the interim period. These financial statements have been prepared by the Company in accordance with accounting principles generally accepted in the United States of America (“GAAP”) for interim financial information and the applicable rules and regulations of the SEC. The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accompanying unaudited condensed consolidated interim financial statements should be read in conjunction with the Company’s Annual Report on Form 10-K for the year ended December 31, 2025 filed with the SEC on March 16, 2026.</w:t>
      </w:r>
    </w:p>
    <w:p>
      <w:pPr>
        <w:spacing w:after="0" w:line="6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Certain amounts on the Company’s Condensed Consolidated Statements of Cash Flows for the nine months ended September 30, 2025 have been reclassified to conform to the current period presentation. Such reclassifications have no effect on previously reported totals or subtotals on the Condensed Consolidated Statements of Cash Flows.</w:t>
      </w:r>
    </w:p>
    <w:p>
      <w:pPr>
        <w:spacing w:after="0" w:line="82"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 The preparation of the financial statements in conformity with GAAP requires management to make estimates and assumptions that affect the reported amounts of assets and liabilities and disclosures of contingent assets and liabilities at the date of the balance sheet. Actual results could differ from those estimates.</w:t>
      </w:r>
    </w:p>
    <w:p>
      <w:pPr>
        <w:spacing w:after="0" w:line="8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There is no other comprehensive income (loss) for the three and nine months ended September 30, 2026 and 2025, resulting in comprehensive income (loss) equaling net income (loss). Accordingly, the statement of other comprehensive income (loss) is not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the Company’s subsidiaries in which the Company has a controlling interest. For consolidated joint ventures, the non-controlling partner’s share of the assets, liabilities and operations of the joint ventures is included in non-controlling interests on the Company's Condensed Consolidated Balance Sheets and Condensed Consolidated Statements of Operations. The non-controlling partner’s interest is generally computed as the joint venture partner’s ownership percentage.</w:t>
      </w:r>
    </w:p>
    <w:p>
      <w:pPr>
        <w:spacing w:after="0" w:line="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determining whether the Company has a controlling financial interest in a partially owned entity and the requirement to consolidate the accounts of that entity, the Company considers whether the entity is a variable interest entity (“VIE”) and whether it is the primary beneficiary. The Company is the primary beneficiary of a VIE when it has (i) the power to direct the most significant activities impacting the economic performance of the VIE and (ii) the obligation to absorb losses or receive benefits significant to the VIE. Entities that do not qualify as VIEs are generally considered voting interest entities (“VOEs”) and are evaluated for consolidation under the voting interest model. VOEs are consolidated when the Company controls the entity through a majority voting interest or other means. When the requirements for consolidation are not met and the Company has significant influence over the operations of the entity, the investment is accounted for under the equity method of accounting. Equity method investments for which the Company has not elected a fair value option (“FVO”) are initially recorded at cost and subsequently adjusted for the Company’s pro rata share of net income, contributions and distributions. When the Company elects the FVO, the Company records its share of net asset value of the entity and any related unrealized gains and losses.</w:t>
      </w:r>
    </w:p>
    <w:p>
      <w:pPr>
        <w:spacing w:after="0" w:line="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Operating Partnership is considered to be a VIE. The Company consolidates the Operating Partnership because it has the ability to direct the most significant activities of the entities such as purchases, dispositions, financings, budgets, and overall operating plans.</w:t>
      </w:r>
    </w:p>
    <w:p>
      <w:pPr>
        <w:spacing w:after="0" w:line="4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Each of the Company’s joint ventures is considered to be a VIE. The Company consolidated these entities because it has the ability to direct the most significant activities of the joint venture. The total assets and liabilities of the Company’s consolidated VIEs were $510.0 million and $267.4 million and $423.3 million and $244.9 million as of September 30, 2026 and December 31, 2025, respectively. Such amounts are included on the Company’s Condensed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Real Estate</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determines whether the acquisition of a property qualifies as a business combination, which requires that the assets acquired and liabilities assumed constitute a business. If the property acquired is not a business, the Company accounts for the transaction as an asset acquisition. All property acquisitions to date have been accounted for as asset acquisitions.</w:t>
      </w:r>
    </w:p>
    <w:p>
      <w:pPr>
        <w:spacing w:after="0" w:line="6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Whether the acquisition of a property is considered a business combination or asset acquisition, the Company recognizes the identifiable tangible and intangible assets acquired, the liabilities assumed, and any non-controlling interest in the acquired entity. In addition, for transactions that are business combinations, the Company evaluates the existence of goodwill or a gain from a bargain purchase. The Company expenses acquisition-related costs associated with business combinations as they are incurred and capitalizes acquisition-related costs associated with asset acquisitions.</w:t>
      </w:r>
    </w:p>
    <w:p>
      <w:pPr>
        <w:spacing w:after="0" w:line="8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Upon the acquisition of a property deemed to be an asset acquisition,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information. Estimates of future cash flows are based on a number of factors including the historical operating results, known and anticipated trends and market and economic conditions.</w:t>
      </w:r>
    </w:p>
    <w:p>
      <w:pPr>
        <w:spacing w:after="0" w:line="68"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w:t>
      </w:r>
    </w:p>
    <w:p>
      <w:pPr>
        <w:spacing w:after="0" w:line="69"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cost of buildings and improvements includes the purchase price of the Company’s properties and any acquisition-related costs, along with any subsequent capitalized improvements to such properties.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investments in real estate are stated at cost and are generally depreciated on a straight-line basis over the estimated useful lives of the assets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1"/>
                <w:szCs w:val="21"/>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Depreciable Life</w:t>
            </w:r>
          </w:p>
        </w:tc>
      </w:tr>
      <w:tr>
        <w:trPr>
          <w:trHeight w:val="26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15-40 years</w:t>
            </w:r>
          </w:p>
        </w:tc>
      </w:tr>
      <w:tr>
        <w:trPr>
          <w:trHeight w:val="277"/>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Site improvements - buildings and land</w:t>
            </w: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2-20 years</w:t>
            </w:r>
          </w:p>
        </w:tc>
      </w:tr>
      <w:tr>
        <w:trPr>
          <w:trHeight w:val="26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5-15 years</w:t>
            </w:r>
          </w:p>
        </w:tc>
      </w:tr>
      <w:tr>
        <w:trPr>
          <w:trHeight w:val="277"/>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intangibles</w:t>
            </w: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lease term</w:t>
            </w:r>
          </w:p>
        </w:tc>
      </w:tr>
    </w:tbl>
    <w:p>
      <w:pPr>
        <w:spacing w:after="0" w:line="184"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Repairs and maintenance are expensed to operations as incurred and are included in property operating expenses on the Company’s Condensed Consolidated Statements of Operations. Significant improvements to properties are capitalized. When assets are sold or retired, their costs and related accumulated depreciation are removed from the accounts with the resulting gains or losses reflected in net income or loss for the period.</w:t>
      </w:r>
    </w:p>
    <w:p>
      <w:pPr>
        <w:spacing w:after="0" w:line="6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records acquired above-market and below-market leases at their fair values (using a discount rate which reflects the risks associated with the leases acquired). In the case of an above-market lease, the excess payment (the difference between (1) the contractual amounts to be received pursuant to the lease and (2) management’s estimate of fair-market lease rates for the lease, measured over a period equal to the remaining term of the lease) is recorded as an asset on the Company’s Condensed Consolidated Balance Sheets. In the case of a below-market lease, the difference between (1) the contractual amounts to be received pursuant to the lease and (2) management’s estimate of fair-market lease rates for the lease, measured over a period equal to the initial term plus the term of any below-market fixed-rate renewal options is recorded as a liability on the Company’s Condensed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w:t>
      </w:r>
    </w:p>
    <w:p>
      <w:pPr>
        <w:spacing w:after="0" w:line="7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estimating costs to execute similar leases, the Company considers leasing commissions, legal and other related expenses. The amortization of acquired above-market and below-market leases is recorded as an adjustment to rental revenue on the Company’s Condensed Consolidated Statements of Operations. The amortization of in-place leases is recorded as an adjustment to depreciation and amortization expense on the Company’s Condensed Consolidated Statements of Operations.</w:t>
      </w:r>
    </w:p>
    <w:p>
      <w:pPr>
        <w:spacing w:after="0" w:line="8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Company’s management reviews the Company’s real estate properties for impairment each quarter or when there is an event or change in circumstances that indicates an impaired value. Since cash flows on real estate properties considered to be “long-lived assets to be held and used” are considered on an undiscounted basis to determine whether an asset has been impaired, the Company’s strategy of holding properties over the long term decreases the likelihood of recording an impairment loss. If the Company’s strategy changes or market conditions otherwise dictate an earlier sale date, an impairment loss may be recognized and such loss could be material to the Company’s results. If the Company determines that an impairment has occurred, the affected assets must be reduced to their estimated fair value. During the three and nine months ended September 30, 2026 and 2025, no such impairments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Under normal market conditions, the fair value of an investment is the amount that would be received to sell an asset or transfer a liability in an orderly transaction between market participants at the measurement date (i.e., the exit price). Additionally, there is a hierarchical framework that prioritizes and ranks the level of market price observability used in measuring investments at fair value. Market price observability is impacted by a number of factors, including the type of investment and the characteristics specific to the investment and the state of the marketplace, including the existence and transparency of transactions between market participants. Investments with readily available active quoted prices or for which fair value can be measured from actively quoted prices generally will have a higher degree of market price observability and a lesser degree of judgment used in measuring fair value. Investments measured and reported at fair value are classified and disclosed in one of the following levels within the fair value hierarchy:</w:t>
      </w:r>
    </w:p>
    <w:p>
      <w:pPr>
        <w:spacing w:after="0" w:line="87" w:lineRule="exact"/>
        <w:rPr>
          <w:sz w:val="20"/>
          <w:szCs w:val="20"/>
          <w:color w:val="auto"/>
        </w:rPr>
      </w:pPr>
    </w:p>
    <w:p>
      <w:pPr>
        <w:ind w:left="660" w:right="2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are available in active markets for identical investments as of the measurement date. The Company does not adjust the quoted price for these investments.</w:t>
      </w:r>
    </w:p>
    <w:p>
      <w:pPr>
        <w:spacing w:after="0" w:line="54"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are available in markets that are not active, or model inputs are based on inputs that are either directly or indirectly observable as of the measurement date.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pricing inputs are unobservable and include instances where there is minimal, if any, market activity for the investment.</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inputs require significant judgment or estimation by management or third parties when determining fair value and generally represent anything that does not meet the criteria of Levels 1 and 2. Due to the inherent uncertainty of these estimates, these values may differ materially from the values that would have been used had a ready market for these investments existed.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measured at fair value</w:t>
      </w:r>
    </w:p>
    <w:p>
      <w:pPr>
        <w:spacing w:after="0" w:line="11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The Company’s investments in real estate debt, real estate-related and other securities and derivatives are recorded at fair value. The Company generally determines the fair value of its investments by utilizing third-party pricing service providers. In determining the value of a particular real estate-related security, the pricing service providers may use broker-dealer quotations, reported trades or valuation estimates from their internal pricing models to determine the reported price. The pricing service providers’ internal models for real estate-related securities usually consider the attributes applicable to a particular class of security (e.g., credit rating, seniority), current market data, and estimated cash flows for each class and incorporate deal collateral performance such as prepayment speeds and default rates, as available.</w:t>
      </w:r>
    </w:p>
    <w:p>
      <w:pPr>
        <w:spacing w:after="0" w:line="8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Certain of the Company’s investments in real estate debt that consist of loans secured by real estate, such as commercial mortgage loans, are unlikely to have readily available market quotations. In such cases, the Company will generally determine the initial value based on the origination amount or acquisition price of the investment if acquired by the Company or the par value of the investment if originated by the Company. Following the initial measurement, the Company will determine fair value by utilizing or reviewing certain of the following inputs: (i) market yield data, (ii) discounted cash flow modeling, (iii) collateral asset performance, (iv) local or macro real estate performance, (v) capital market conditions, (vi) debt yield or loan-to-value ratios and (vii) borrower financial condition and performance.</w:t>
      </w:r>
    </w:p>
    <w:p>
      <w:pPr>
        <w:spacing w:after="0" w:line="8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Company's derivative financial instruments consist of interest rate swaps. The fair value of the Company’s interest rate swaps are estimated using information provided by a third-party valuation service provider based on contractual cash flows and interest calculations using the appropriate discount rate.</w:t>
      </w:r>
    </w:p>
    <w:p>
      <w:pPr>
        <w:spacing w:after="0" w:line="8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Class E units held by the Adviser that were mandatorily redeemable and only subject to delays to the continuous obligation to ultimately redeem such units once sufficient availability exists under the share repurchase agreements (the “Mandatorily Redeemable Instruments”) were carried at their cash redemption value as if the units were repurchased or redeemable at the reporting date, which equals Class E NAV per unit at the reporting date. As of September 30, 2026, there are no outstanding Class E shares or Class E units held by the Adviser that are subject to mandatory repurchase requirements.</w:t>
      </w:r>
    </w:p>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carrying amounts of financial instruments such as other assets, accounts payable, accrued expenses and other liabilities approximate their fair values due to the short-term maturities and market rates of interest of these instruments.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Company’s assets and liabilities measured at fair value on a recurring basis ($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180" w:right="120"/>
        <w:spacing w:after="0" w:line="273" w:lineRule="auto"/>
        <w:rPr>
          <w:sz w:val="20"/>
          <w:szCs w:val="20"/>
          <w:color w:val="auto"/>
        </w:rPr>
      </w:pPr>
      <w:r>
        <w:rPr>
          <w:rFonts w:ascii="Times New Roman" w:cs="Times New Roman" w:eastAsia="Times New Roman" w:hAnsi="Times New Roman"/>
          <w:sz w:val="18"/>
          <w:szCs w:val="18"/>
          <w:color w:val="auto"/>
        </w:rPr>
        <w:t>Investments in real estate debt</w:t>
      </w:r>
    </w:p>
    <w:p>
      <w:pPr>
        <w:spacing w:after="0" w:line="2" w:lineRule="exact"/>
        <w:rPr>
          <w:sz w:val="20"/>
          <w:szCs w:val="20"/>
          <w:color w:val="auto"/>
        </w:rPr>
      </w:pPr>
    </w:p>
    <w:p>
      <w:pPr>
        <w:ind w:left="180"/>
        <w:spacing w:after="0" w:line="273" w:lineRule="auto"/>
        <w:rPr>
          <w:sz w:val="20"/>
          <w:szCs w:val="20"/>
          <w:color w:val="auto"/>
        </w:rPr>
      </w:pPr>
      <w:r>
        <w:rPr>
          <w:rFonts w:ascii="Times New Roman" w:cs="Times New Roman" w:eastAsia="Times New Roman" w:hAnsi="Times New Roman"/>
          <w:sz w:val="18"/>
          <w:szCs w:val="18"/>
          <w:color w:val="auto"/>
        </w:rPr>
        <w:t>Investments in real estate-related and other securities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67" w:lineRule="exact"/>
        <w:rPr>
          <w:sz w:val="20"/>
          <w:szCs w:val="20"/>
          <w:color w:val="auto"/>
        </w:rPr>
      </w:pPr>
    </w:p>
    <w:p>
      <w:pPr>
        <w:ind w:left="180" w:right="180"/>
        <w:spacing w:after="0" w:line="273" w:lineRule="auto"/>
        <w:rPr>
          <w:sz w:val="20"/>
          <w:szCs w:val="20"/>
          <w:color w:val="auto"/>
        </w:rPr>
      </w:pPr>
      <w:r>
        <w:rPr>
          <w:rFonts w:ascii="Times New Roman" w:cs="Times New Roman" w:eastAsia="Times New Roman" w:hAnsi="Times New Roman"/>
          <w:sz w:val="18"/>
          <w:szCs w:val="18"/>
          <w:color w:val="auto"/>
        </w:rPr>
        <w:t>Mandatorily redeemable instruments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(2)</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63"/>
        </w:trPr>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60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358,542</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224,600</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224,600</w:t>
            </w:r>
          </w:p>
        </w:tc>
      </w:tr>
      <w:tr>
        <w:trPr>
          <w:trHeight w:val="473"/>
        </w:trPr>
        <w:tc>
          <w:tcPr>
            <w:tcW w:w="16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r>
      <w:tr>
        <w:trPr>
          <w:trHeight w:val="385"/>
        </w:trPr>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358,542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375,690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239,923</w:t>
            </w:r>
          </w:p>
        </w:tc>
      </w:tr>
      <w:tr>
        <w:trPr>
          <w:trHeight w:val="27"/>
        </w:trPr>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85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r>
      <w:tr>
        <w:trPr>
          <w:trHeight w:val="385"/>
        </w:trPr>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6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55,148</w:t>
            </w:r>
          </w:p>
        </w:tc>
      </w:tr>
      <w:tr>
        <w:trPr>
          <w:trHeight w:val="27"/>
        </w:trPr>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-2167890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-1696720</wp:posOffset>
            </wp:positionV>
            <wp:extent cx="713232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-1224915</wp:posOffset>
            </wp:positionV>
            <wp:extent cx="7132320"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-856615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-385445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120" w:space="220"/>
            <w:col w:w="8900"/>
          </w:cols>
          <w:pgMar w:left="320" w:top="121" w:right="339" w:bottom="1440" w:gutter="0" w:footer="0" w:header="0"/>
          <w:type w:val="continuous"/>
        </w:sect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other assets, net on the Company’s Condensed Consolidated Balance Sheets.</w:t>
      </w:r>
    </w:p>
    <w:p>
      <w:pPr>
        <w:spacing w:after="0" w:line="4" w:lineRule="exact"/>
        <w:rPr>
          <w:rFonts w:ascii="Times New Roman" w:cs="Times New Roman" w:eastAsia="Times New Roman" w:hAnsi="Times New Roman"/>
          <w:sz w:val="19"/>
          <w:szCs w:val="19"/>
          <w:color w:val="auto"/>
          <w:vertAlign w:val="superscript"/>
        </w:rPr>
      </w:pPr>
    </w:p>
    <w:p>
      <w:pPr>
        <w:ind w:left="180" w:hanging="172"/>
        <w:spacing w:after="0" w:line="203" w:lineRule="auto"/>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accounts payable, accrued expenses and other liabilities on the Company’s Condensed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assets and liabilities measured at fair value on a recurring basis using Level 3 inputs ($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Mandatorily</w:t>
            </w:r>
          </w:p>
        </w:tc>
      </w:tr>
      <w:tr>
        <w:trPr>
          <w:trHeight w:val="203"/>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Investments in</w:t>
            </w:r>
          </w:p>
        </w:tc>
        <w:tc>
          <w:tcPr>
            <w:tcW w:w="180" w:type="dxa"/>
            <w:vAlign w:val="bottom"/>
          </w:tcPr>
          <w:p>
            <w:pPr>
              <w:spacing w:after="0"/>
              <w:rPr>
                <w:sz w:val="17"/>
                <w:szCs w:val="17"/>
                <w:color w:val="auto"/>
              </w:rPr>
            </w:pPr>
          </w:p>
        </w:tc>
        <w:tc>
          <w:tcPr>
            <w:tcW w:w="130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redeemable</w:t>
            </w:r>
          </w:p>
        </w:tc>
      </w:tr>
      <w:tr>
        <w:trPr>
          <w:trHeight w:val="203"/>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real estate debt</w:t>
            </w:r>
          </w:p>
        </w:tc>
        <w:tc>
          <w:tcPr>
            <w:tcW w:w="180" w:type="dxa"/>
            <w:vAlign w:val="bottom"/>
          </w:tcPr>
          <w:p>
            <w:pPr>
              <w:spacing w:after="0"/>
              <w:rPr>
                <w:sz w:val="17"/>
                <w:szCs w:val="17"/>
                <w:color w:val="auto"/>
              </w:rPr>
            </w:pPr>
          </w:p>
        </w:tc>
        <w:tc>
          <w:tcPr>
            <w:tcW w:w="130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59"/>
        </w:trPr>
        <w:tc>
          <w:tcPr>
            <w:tcW w:w="8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80" w:type="dxa"/>
            <w:vAlign w:val="bottom"/>
          </w:tcPr>
          <w:p>
            <w:pPr>
              <w:spacing w:after="0"/>
              <w:rPr>
                <w:sz w:val="22"/>
                <w:szCs w:val="22"/>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70"/>
        </w:trPr>
        <w:tc>
          <w:tcPr>
            <w:tcW w:w="81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224,600</w:t>
            </w:r>
          </w:p>
        </w:tc>
        <w:tc>
          <w:tcPr>
            <w:tcW w:w="100" w:type="dxa"/>
            <w:vAlign w:val="bottom"/>
            <w:tcBorders>
              <w:top w:val="single" w:sz="8" w:color="CFF0FC"/>
            </w:tcBorders>
            <w:shd w:val="clear" w:color="auto" w:fill="CFF0FC"/>
          </w:tcPr>
          <w:p>
            <w:pPr>
              <w:spacing w:after="0"/>
              <w:rPr>
                <w:sz w:val="23"/>
                <w:szCs w:val="23"/>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12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declared</w:t>
            </w:r>
          </w:p>
        </w:tc>
        <w:tc>
          <w:tcPr>
            <w:tcW w:w="12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7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Reclassify to distributions payable/paid</w:t>
            </w:r>
          </w:p>
        </w:tc>
        <w:tc>
          <w:tcPr>
            <w:tcW w:w="12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12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358,542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-1422400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the quantitative inputs and assumptions used for items categorized in Level 3 of the fair value hierarchy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 -</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Impact to</w:t>
            </w:r>
          </w:p>
        </w:tc>
        <w:tc>
          <w:tcPr>
            <w:tcW w:w="0" w:type="dxa"/>
            <w:vAlign w:val="bottom"/>
          </w:tcPr>
          <w:p>
            <w:pPr>
              <w:spacing w:after="0"/>
              <w:rPr>
                <w:sz w:val="1"/>
                <w:szCs w:val="1"/>
                <w:color w:val="auto"/>
              </w:rPr>
            </w:pPr>
          </w:p>
        </w:tc>
      </w:tr>
      <w:tr>
        <w:trPr>
          <w:trHeight w:val="184"/>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60" w:type="dxa"/>
            <w:vAlign w:val="bottom"/>
            <w:gridSpan w:val="2"/>
            <w:vMerge w:val="continue"/>
          </w:tcPr>
          <w:p>
            <w:pPr>
              <w:spacing w:after="0"/>
              <w:rPr>
                <w:sz w:val="16"/>
                <w:szCs w:val="16"/>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560" w:type="dxa"/>
            <w:vAlign w:val="bottom"/>
            <w:gridSpan w:val="2"/>
            <w:vMerge w:val="continue"/>
          </w:tcPr>
          <w:p>
            <w:pPr>
              <w:spacing w:after="0"/>
              <w:rPr>
                <w:sz w:val="16"/>
                <w:szCs w:val="16"/>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Valuation from an</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340" w:type="dxa"/>
            <w:vAlign w:val="bottom"/>
            <w:gridSpan w:val="2"/>
            <w:vMerge w:val="continue"/>
          </w:tcPr>
          <w:p>
            <w:pPr>
              <w:spacing w:after="0"/>
              <w:rPr>
                <w:sz w:val="19"/>
                <w:szCs w:val="19"/>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 in Input</w:t>
            </w: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358,542</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Discounted cash</w:t>
            </w:r>
          </w:p>
        </w:tc>
        <w:tc>
          <w:tcPr>
            <w:tcW w:w="2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Market credit spread</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6"/>
              </w:rPr>
              <w:t>SOFR</w:t>
            </w:r>
            <w:r>
              <w:rPr>
                <w:rFonts w:ascii="Times New Roman" w:cs="Times New Roman" w:eastAsia="Times New Roman" w:hAnsi="Times New Roman"/>
                <w:sz w:val="23"/>
                <w:szCs w:val="23"/>
                <w:color w:val="auto"/>
                <w:w w:val="96"/>
                <w:vertAlign w:val="superscript"/>
              </w:rPr>
              <w:t>(1)</w:t>
            </w:r>
            <w:r>
              <w:rPr>
                <w:rFonts w:ascii="Times New Roman" w:cs="Times New Roman" w:eastAsia="Times New Roman" w:hAnsi="Times New Roman"/>
                <w:sz w:val="18"/>
                <w:szCs w:val="18"/>
                <w:color w:val="auto"/>
                <w:w w:val="96"/>
              </w:rPr>
              <w:t xml:space="preserve"> + 2.51%</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180"/>
        </w:trPr>
        <w:tc>
          <w:tcPr>
            <w:tcW w:w="29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6"/>
              </w:rPr>
              <w:t>flow</w:t>
            </w:r>
          </w:p>
        </w:tc>
        <w:tc>
          <w:tcPr>
            <w:tcW w:w="23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3"/>
        </w:trPr>
        <w:tc>
          <w:tcPr>
            <w:tcW w:w="2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 -</w:t>
            </w: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Impact to</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60" w:type="dxa"/>
            <w:vAlign w:val="bottom"/>
            <w:gridSpan w:val="2"/>
            <w:vMerge w:val="continue"/>
          </w:tcPr>
          <w:p>
            <w:pPr>
              <w:spacing w:after="0"/>
              <w:rPr>
                <w:sz w:val="15"/>
                <w:szCs w:val="15"/>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560" w:type="dxa"/>
            <w:vAlign w:val="bottom"/>
            <w:gridSpan w:val="2"/>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Valuation from an</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340" w:type="dxa"/>
            <w:vAlign w:val="bottom"/>
            <w:gridSpan w:val="2"/>
            <w:vMerge w:val="continue"/>
          </w:tcPr>
          <w:p>
            <w:pPr>
              <w:spacing w:after="0"/>
              <w:rPr>
                <w:sz w:val="21"/>
                <w:szCs w:val="21"/>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 in Input</w:t>
            </w: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224,600</w:t>
            </w:r>
          </w:p>
        </w:tc>
        <w:tc>
          <w:tcPr>
            <w:tcW w:w="1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Discounted cash</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Market credit spread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SOFR</w:t>
            </w:r>
            <w:r>
              <w:rPr>
                <w:rFonts w:ascii="Times New Roman" w:cs="Times New Roman" w:eastAsia="Times New Roman" w:hAnsi="Times New Roman"/>
                <w:sz w:val="23"/>
                <w:szCs w:val="23"/>
                <w:color w:val="auto"/>
                <w:w w:val="96"/>
                <w:vertAlign w:val="superscript"/>
              </w:rPr>
              <w:t>(2)</w:t>
            </w:r>
            <w:r>
              <w:rPr>
                <w:rFonts w:ascii="Times New Roman" w:cs="Times New Roman" w:eastAsia="Times New Roman" w:hAnsi="Times New Roman"/>
                <w:sz w:val="18"/>
                <w:szCs w:val="18"/>
                <w:color w:val="auto"/>
                <w:w w:val="96"/>
              </w:rPr>
              <w:t xml:space="preserve"> + 2.69%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flow</w:t>
            </w: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9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9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Mandatorily redeemable instruments</w:t>
            </w:r>
            <w:r>
              <w:rPr>
                <w:rFonts w:ascii="Times New Roman" w:cs="Times New Roman" w:eastAsia="Times New Roman" w:hAnsi="Times New Roman"/>
                <w:sz w:val="23"/>
                <w:szCs w:val="23"/>
                <w:color w:val="auto"/>
                <w:vertAlign w:val="superscript"/>
              </w:rPr>
              <w:t>(3)</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00" w:type="dxa"/>
            <w:vAlign w:val="bottom"/>
            <w:shd w:val="clear" w:color="auto" w:fill="CFF0FC"/>
          </w:tcPr>
          <w:p>
            <w:pPr>
              <w:spacing w:after="0"/>
              <w:rPr>
                <w:sz w:val="16"/>
                <w:szCs w:val="16"/>
                <w:color w:val="auto"/>
              </w:rPr>
            </w:pPr>
          </w:p>
        </w:tc>
        <w:tc>
          <w:tcPr>
            <w:tcW w:w="156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Discounted cash</w:t>
            </w:r>
          </w:p>
        </w:tc>
        <w:tc>
          <w:tcPr>
            <w:tcW w:w="2340" w:type="dxa"/>
            <w:vAlign w:val="bottom"/>
            <w:gridSpan w:val="2"/>
            <w:shd w:val="clear" w:color="auto" w:fill="CFF0FC"/>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FF0FC"/>
          </w:tcPr>
          <w:p>
            <w:pPr>
              <w:spacing w:after="0"/>
              <w:rPr>
                <w:sz w:val="16"/>
                <w:szCs w:val="16"/>
                <w:color w:val="auto"/>
              </w:rPr>
            </w:pP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176"/>
        </w:trPr>
        <w:tc>
          <w:tcPr>
            <w:tcW w:w="2940" w:type="dxa"/>
            <w:vAlign w:val="bottom"/>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11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vMerge w:val="continue"/>
            <w:shd w:val="clear" w:color="auto" w:fill="CFF0FC"/>
          </w:tcPr>
          <w:p>
            <w:pPr>
              <w:spacing w:after="0"/>
              <w:rPr>
                <w:sz w:val="15"/>
                <w:szCs w:val="15"/>
                <w:color w:val="auto"/>
              </w:rPr>
            </w:pPr>
          </w:p>
        </w:tc>
        <w:tc>
          <w:tcPr>
            <w:tcW w:w="2340" w:type="dxa"/>
            <w:vAlign w:val="bottom"/>
            <w:gridSpan w:val="2"/>
            <w:shd w:val="clear" w:color="auto" w:fill="CFF0FC"/>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Exit capitalization rate/</w:t>
            </w:r>
          </w:p>
        </w:tc>
        <w:tc>
          <w:tcPr>
            <w:tcW w:w="1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FF0FC"/>
          </w:tcPr>
          <w:p>
            <w:pPr>
              <w:spacing w:after="0"/>
              <w:rPr>
                <w:sz w:val="15"/>
                <w:szCs w:val="15"/>
                <w:color w:val="auto"/>
              </w:rPr>
            </w:pPr>
          </w:p>
        </w:tc>
        <w:tc>
          <w:tcPr>
            <w:tcW w:w="148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6"/>
              </w:rPr>
              <w:t>flow</w:t>
            </w:r>
          </w:p>
        </w:tc>
        <w:tc>
          <w:tcPr>
            <w:tcW w:w="234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 yield</w:t>
            </w:r>
          </w:p>
        </w:tc>
        <w:tc>
          <w:tcPr>
            <w:tcW w:w="1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940" w:type="dxa"/>
            <w:vAlign w:val="bottom"/>
            <w:shd w:val="clear" w:color="auto" w:fill="CFF0FC"/>
          </w:tcPr>
          <w:p>
            <w:pPr>
              <w:spacing w:after="0"/>
              <w:rPr>
                <w:sz w:val="4"/>
                <w:szCs w:val="4"/>
                <w:color w:val="auto"/>
              </w:rPr>
            </w:pPr>
          </w:p>
        </w:tc>
        <w:tc>
          <w:tcPr>
            <w:tcW w:w="160" w:type="dxa"/>
            <w:vAlign w:val="bottom"/>
            <w:shd w:val="clear" w:color="auto" w:fill="CFF0FC"/>
          </w:tcPr>
          <w:p>
            <w:pPr>
              <w:spacing w:after="0"/>
              <w:rPr>
                <w:sz w:val="4"/>
                <w:szCs w:val="4"/>
                <w:color w:val="auto"/>
              </w:rPr>
            </w:pPr>
          </w:p>
        </w:tc>
        <w:tc>
          <w:tcPr>
            <w:tcW w:w="110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4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2340" w:type="dxa"/>
            <w:vAlign w:val="bottom"/>
            <w:gridSpan w:val="2"/>
            <w:vMerge w:val="continue"/>
            <w:shd w:val="clear" w:color="auto" w:fill="CFF0FC"/>
          </w:tcPr>
          <w:p>
            <w:pPr>
              <w:spacing w:after="0"/>
              <w:rPr>
                <w:sz w:val="4"/>
                <w:szCs w:val="4"/>
                <w:color w:val="auto"/>
              </w:rPr>
            </w:pPr>
          </w:p>
        </w:tc>
        <w:tc>
          <w:tcPr>
            <w:tcW w:w="1480" w:type="dxa"/>
            <w:vAlign w:val="bottom"/>
            <w:vMerge w:val="continue"/>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48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-2262505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-2262505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-2262505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-1139190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-1139190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-1139190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3"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SOFR” refers to the Secured Overnight Financing Rate at September 30, 2026.</w:t>
      </w:r>
    </w:p>
    <w:p>
      <w:pPr>
        <w:spacing w:after="0" w:line="7" w:lineRule="exact"/>
        <w:rPr>
          <w:rFonts w:ascii="Times New Roman" w:cs="Times New Roman" w:eastAsia="Times New Roman" w:hAnsi="Times New Roman"/>
          <w:sz w:val="19"/>
          <w:szCs w:val="19"/>
          <w:color w:val="auto"/>
          <w:vertAlign w:val="superscript"/>
        </w:rPr>
      </w:pPr>
    </w:p>
    <w:p>
      <w:pPr>
        <w:ind w:left="160" w:hanging="152"/>
        <w:spacing w:after="0" w:line="222"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SOFR” refers to the Secured Overnight Financing Rate at December 31, 2025.</w:t>
      </w:r>
    </w:p>
    <w:p>
      <w:pPr>
        <w:ind w:left="180" w:right="560" w:hanging="172"/>
        <w:spacing w:after="0" w:line="261" w:lineRule="auto"/>
        <w:tabs>
          <w:tab w:leader="none" w:pos="16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Mandatorily Redeemable Instruments are carried at the NAV of the Class E units, which is determined monthly in accordance with the Company's valuation guidelines.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not measured at fair value</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fair value of the Company’s financial instruments (other than mortgage notes, repurchase facility and the unsecured revolving credit facility), including cash and cash equivalents and other financial instruments, approximate their carrying or contract value. The fair value of the Company’s indebtedness is estimated by modeling the cash flows required by the Company’s debt agreements and discounting them back to the present value using an appropriate discount rate. Additionally, the Company considers current market rates and conditions by evaluating similar borrowing agreements with comparable loan-to-value ratios and credit profiles. The inputs used in determining the fair value of the Company’s indebtedness are considered Level 3.</w:t>
      </w:r>
    </w:p>
    <w:p>
      <w:pPr>
        <w:spacing w:after="0" w:line="6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financial instruments that are not carried at fair value on the Condensed Consolidated Balance Sheets ($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6"/>
        </w:trPr>
        <w:tc>
          <w:tcPr>
            <w:tcW w:w="5040" w:type="dxa"/>
            <w:vAlign w:val="bottom"/>
          </w:tcPr>
          <w:p>
            <w:pPr>
              <w:spacing w:after="0"/>
              <w:rPr>
                <w:sz w:val="20"/>
                <w:szCs w:val="20"/>
                <w:color w:val="auto"/>
              </w:rPr>
            </w:pPr>
          </w:p>
        </w:tc>
        <w:tc>
          <w:tcPr>
            <w:tcW w:w="156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8"/>
                <w:szCs w:val="18"/>
                <w:b w:val="1"/>
                <w:bCs w:val="1"/>
                <w:color w:val="auto"/>
                <w:w w:val="99"/>
              </w:rPr>
              <w:t>Carrying Value</w:t>
            </w:r>
            <w:r>
              <w:rPr>
                <w:rFonts w:ascii="Times New Roman" w:cs="Times New Roman" w:eastAsia="Times New Roman" w:hAnsi="Times New Roman"/>
                <w:sz w:val="23"/>
                <w:szCs w:val="23"/>
                <w:b w:val="1"/>
                <w:bCs w:val="1"/>
                <w:color w:val="auto"/>
                <w:w w:val="99"/>
                <w:vertAlign w:val="superscript"/>
              </w:rPr>
              <w:t>(1)</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gridSpan w:val="3"/>
          </w:tcPr>
          <w:p>
            <w:pPr>
              <w:ind w:left="80"/>
              <w:spacing w:after="0" w:line="236" w:lineRule="exact"/>
              <w:rPr>
                <w:sz w:val="20"/>
                <w:szCs w:val="20"/>
                <w:color w:val="auto"/>
              </w:rPr>
            </w:pPr>
            <w:r>
              <w:rPr>
                <w:rFonts w:ascii="Times New Roman" w:cs="Times New Roman" w:eastAsia="Times New Roman" w:hAnsi="Times New Roman"/>
                <w:sz w:val="18"/>
                <w:szCs w:val="18"/>
                <w:b w:val="1"/>
                <w:bCs w:val="1"/>
                <w:color w:val="auto"/>
              </w:rPr>
              <w:t>Carrying Value</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0"/>
        </w:trPr>
        <w:tc>
          <w:tcPr>
            <w:tcW w:w="50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notes</w:t>
            </w:r>
          </w:p>
        </w:tc>
        <w:tc>
          <w:tcPr>
            <w:tcW w:w="44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372,471</w:t>
            </w:r>
          </w:p>
        </w:tc>
        <w:tc>
          <w:tcPr>
            <w:tcW w:w="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367,862</w:t>
            </w:r>
          </w:p>
        </w:tc>
        <w:tc>
          <w:tcPr>
            <w:tcW w:w="10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365,641</w:t>
            </w:r>
          </w:p>
        </w:tc>
        <w:tc>
          <w:tcPr>
            <w:tcW w:w="10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366,381</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facility</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168,450</w:t>
            </w:r>
          </w:p>
        </w:tc>
      </w:tr>
      <w:tr>
        <w:trPr>
          <w:trHeight w:val="27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44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305,500</w:t>
            </w:r>
          </w:p>
        </w:tc>
        <w:tc>
          <w:tcPr>
            <w:tcW w:w="8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305,500</w:t>
            </w:r>
          </w:p>
        </w:tc>
        <w:tc>
          <w:tcPr>
            <w:tcW w:w="100" w:type="dxa"/>
            <w:vAlign w:val="bottom"/>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0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946,921</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942,312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607,091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607,831</w:t>
            </w: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deferred financing costs and discounts.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 xml:space="preserve">Income Statement-Reporting Comprehensive Income-Expense Disaggregation Disclosures </w:t>
      </w:r>
      <w:r>
        <w:rPr>
          <w:rFonts w:ascii="Times New Roman" w:cs="Times New Roman" w:eastAsia="Times New Roman" w:hAnsi="Times New Roman"/>
          <w:sz w:val="18"/>
          <w:szCs w:val="18"/>
          <w:color w:val="auto"/>
        </w:rPr>
        <w:t>(Subtopic 220-40):</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requiring public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65"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color w:val="auto"/>
        </w:rPr>
        <w:t xml:space="preserve">In December 2025, FASB issued ASU 2025-09,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(Topic 815): </w:t>
      </w:r>
      <w:r>
        <w:rPr>
          <w:rFonts w:ascii="Times New Roman" w:cs="Times New Roman" w:eastAsia="Times New Roman" w:hAnsi="Times New Roman"/>
          <w:sz w:val="18"/>
          <w:szCs w:val="18"/>
          <w:i w:val="1"/>
          <w:iCs w:val="1"/>
          <w:color w:val="auto"/>
        </w:rPr>
        <w:t>Hedge Accounting Improvements</w:t>
      </w:r>
      <w:r>
        <w:rPr>
          <w:rFonts w:ascii="Times New Roman" w:cs="Times New Roman" w:eastAsia="Times New Roman" w:hAnsi="Times New Roman"/>
          <w:sz w:val="18"/>
          <w:szCs w:val="18"/>
          <w:color w:val="auto"/>
        </w:rPr>
        <w:t xml:space="preserve">, which amends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update refines certain hedge accounting requirements, including clarifications to the designation and documentation criteria for hedge relationships, improvements to the assessment of hedge effectiveness, and enhanced disclosures intended to provide greater transparency into an entity’s risk management activities involving derivatives. ASU 2025-09 is effective for annual periods beginning after December 15, 2026, including interim periods within those annual periods, and early adoption is permitted. The Company is currently evaluating the potential impact of the guidance and potential additional disclosures required.</w:t>
      </w:r>
    </w:p>
    <w:p>
      <w:pPr>
        <w:spacing w:after="0" w:line="7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In December 2025, FASB issued ASU 2025-11, </w:t>
      </w:r>
      <w:r>
        <w:rPr>
          <w:rFonts w:ascii="Times New Roman" w:cs="Times New Roman" w:eastAsia="Times New Roman" w:hAnsi="Times New Roman"/>
          <w:sz w:val="17"/>
          <w:szCs w:val="17"/>
          <w:i w:val="1"/>
          <w:iCs w:val="1"/>
          <w:color w:val="auto"/>
        </w:rPr>
        <w:t>Interim Reporting</w:t>
      </w:r>
      <w:r>
        <w:rPr>
          <w:rFonts w:ascii="Times New Roman" w:cs="Times New Roman" w:eastAsia="Times New Roman" w:hAnsi="Times New Roman"/>
          <w:sz w:val="17"/>
          <w:szCs w:val="17"/>
          <w:color w:val="auto"/>
        </w:rPr>
        <w:t xml:space="preserve"> (Topic 270): </w:t>
      </w:r>
      <w:r>
        <w:rPr>
          <w:rFonts w:ascii="Times New Roman" w:cs="Times New Roman" w:eastAsia="Times New Roman" w:hAnsi="Times New Roman"/>
          <w:sz w:val="17"/>
          <w:szCs w:val="17"/>
          <w:i w:val="1"/>
          <w:iCs w:val="1"/>
          <w:color w:val="auto"/>
        </w:rPr>
        <w:t>Narrow-Scope Improvements</w:t>
      </w:r>
      <w:r>
        <w:rPr>
          <w:rFonts w:ascii="Times New Roman" w:cs="Times New Roman" w:eastAsia="Times New Roman" w:hAnsi="Times New Roman"/>
          <w:sz w:val="17"/>
          <w:szCs w:val="17"/>
          <w:color w:val="auto"/>
        </w:rPr>
        <w:t xml:space="preserve"> (“ASU 2025-11”). ASU 2025-11 is intended to clarify and improve certain aspects of interim financial reporting, including the requirements for interim disclosures and the application of recognition and measurement guidance in interim periods. ASU 2025-11 is effective for interim reporting periods within annual reporting periods beginning after December 15, 2026. The Company is currently evaluating the potential impact of the guidance and potential additional disclosures required.</w:t>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Real Estate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real estate, net consisted of the following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in real estate, net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1,062,271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844,419</w:t>
            </w:r>
          </w:p>
        </w:tc>
      </w:tr>
      <w:tr>
        <w:trPr>
          <w:trHeight w:val="284"/>
        </w:trPr>
        <w:tc>
          <w:tcPr>
            <w:tcW w:w="2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345,103</w:t>
            </w:r>
          </w:p>
        </w:tc>
      </w:tr>
      <w:tr>
        <w:trPr>
          <w:trHeight w:val="270"/>
        </w:trPr>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r>
      <w:tr>
        <w:trPr>
          <w:trHeight w:val="250"/>
        </w:trPr>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1,197,877</w:t>
            </w:r>
          </w:p>
        </w:tc>
      </w:tr>
      <w:tr>
        <w:trPr>
          <w:trHeight w:val="270"/>
        </w:trPr>
        <w:tc>
          <w:tcPr>
            <w:tcW w:w="2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(69,393)</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(38,245)</w:t>
            </w:r>
          </w:p>
        </w:tc>
      </w:tr>
      <w:tr>
        <w:trPr>
          <w:trHeight w:val="236"/>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1,457,052</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1,159,632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95" w:lineRule="exact"/>
        <w:rPr>
          <w:sz w:val="20"/>
          <w:szCs w:val="20"/>
          <w:color w:val="auto"/>
        </w:rPr>
      </w:pPr>
    </w:p>
    <w:p>
      <w:pPr>
        <w:sectPr>
          <w:pgSz w:w="11900" w:h="16838" w:orient="portrait"/>
          <w:cols w:equalWidth="0" w:num="2">
            <w:col w:w="6100" w:space="720"/>
            <w:col w:w="4420"/>
          </w:cols>
          <w:pgMar w:left="320" w:top="121" w:right="339" w:bottom="1440" w:gutter="0" w:footer="0" w:header="0"/>
          <w:type w:val="continuous"/>
        </w:sect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April 24, 2026, the Company acquired a 114-unit, 55+ active adult mid-rise rental community located in the Philadelphia, Pennsylvania Metropolitan Statistical Area for $28.7 million, excluding closing costs.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June 25, 2026, the Company acquired a seven-building office portfolio in the Boston, Massachusetts Metropolitan Statistical Area. The total purchase price was $61.0 million, excluding closing costs. The portfolio was acquired through a joint venture, of which the Company owns 97.5%.</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July 2, 2026, the Company acquired a 132,282 square foot neighborhood retail center located in the Dallas, Texas Metropolitan Statistical Area for $41.5 million, excluding closing costs.</w:t>
      </w:r>
    </w:p>
    <w:p>
      <w:pPr>
        <w:spacing w:after="0" w:line="4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July 7, 2026, the Company acquired a 290,503 square foot industrial facility in the Miami, Florida Metropolitan Statistical Area for $65.0 million, excluding closing costs.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10, 2026, the Company acquired a 521,091 square foot, Class A, two-building industrial campus in the Los Angeles, California Metropolitan Statistical Area for $176.5 million, excluding closing costs.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the properties acquired during the nine months ended September 30, 2026 ($ and square feet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Property Type</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7"/>
                <w:szCs w:val="17"/>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23"/>
                <w:szCs w:val="23"/>
                <w:b w:val="1"/>
                <w:bCs w:val="1"/>
                <w:color w:val="auto"/>
                <w:vertAlign w:val="superscript"/>
              </w:rPr>
              <w:t>(2)</w:t>
            </w: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Properties</w:t>
            </w:r>
          </w:p>
        </w:tc>
        <w:tc>
          <w:tcPr>
            <w:tcW w:w="160" w:type="dxa"/>
            <w:vAlign w:val="bottom"/>
          </w:tcPr>
          <w:p>
            <w:pPr>
              <w:spacing w:after="0"/>
              <w:rPr>
                <w:sz w:val="17"/>
                <w:szCs w:val="17"/>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 Ft./Units</w:t>
            </w:r>
          </w:p>
        </w:tc>
        <w:tc>
          <w:tcPr>
            <w:tcW w:w="0" w:type="dxa"/>
            <w:vAlign w:val="bottom"/>
          </w:tcPr>
          <w:p>
            <w:pPr>
              <w:spacing w:after="0"/>
              <w:rPr>
                <w:sz w:val="1"/>
                <w:szCs w:val="1"/>
                <w:color w:val="auto"/>
              </w:rPr>
            </w:pPr>
          </w:p>
        </w:tc>
      </w:tr>
      <w:tr>
        <w:trPr>
          <w:trHeight w:val="238"/>
        </w:trPr>
        <w:tc>
          <w:tcPr>
            <w:tcW w:w="3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1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238,995</w:t>
            </w:r>
          </w:p>
        </w:tc>
        <w:tc>
          <w:tcPr>
            <w:tcW w:w="16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812 sq. ft</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 units</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40,269</w:t>
            </w: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 sq. ft</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Office</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61,793</w:t>
            </w:r>
          </w:p>
        </w:tc>
        <w:tc>
          <w:tcPr>
            <w:tcW w:w="16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958 sq. ft</w:t>
            </w:r>
          </w:p>
        </w:tc>
        <w:tc>
          <w:tcPr>
            <w:tcW w:w="0" w:type="dxa"/>
            <w:vAlign w:val="bottom"/>
          </w:tcPr>
          <w:p>
            <w:pPr>
              <w:spacing w:after="0"/>
              <w:rPr>
                <w:sz w:val="1"/>
                <w:szCs w:val="1"/>
                <w:color w:val="auto"/>
              </w:rPr>
            </w:pPr>
          </w:p>
        </w:tc>
      </w:tr>
      <w:tr>
        <w:trPr>
          <w:trHeight w:val="26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370,039</w:t>
            </w:r>
          </w:p>
        </w:tc>
        <w:tc>
          <w:tcPr>
            <w:tcW w:w="1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right="440" w:hanging="172"/>
        <w:spacing w:after="0" w:line="233" w:lineRule="auto"/>
        <w:tabs>
          <w:tab w:leader="none" w:pos="199"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investment in a joint venture, of which the Company owns 98%, to originate construction loans to develop single-tenant, net leased, retail properties. During the nine months ended September 30, 2026, the Company contributed $5.4 million, net of distributions, to the joint venture.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19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Purchase price is inclusive of acquisition-related costs.</w:t>
      </w:r>
    </w:p>
    <w:p>
      <w:pPr>
        <w:ind w:left="180" w:right="20" w:hanging="172"/>
        <w:spacing w:after="0" w:line="212" w:lineRule="auto"/>
        <w:tabs>
          <w:tab w:leader="none" w:pos="199"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$8.5 million related to certain sales-type leases that were recorded as investments in real estate, net and subsequently reclassified to other assets, net on the Company’s Condensed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purchase price allocation for the properties acquired during the nine months ended September 30, 2026 ($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15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0" w:type="dxa"/>
            <w:vAlign w:val="bottom"/>
          </w:tcPr>
          <w:p>
            <w:pPr>
              <w:spacing w:after="0"/>
              <w:rPr>
                <w:sz w:val="1"/>
                <w:szCs w:val="1"/>
                <w:color w:val="auto"/>
              </w:rPr>
            </w:pPr>
          </w:p>
        </w:tc>
      </w:tr>
      <w:tr>
        <w:trPr>
          <w:trHeight w:val="239"/>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203,233</w:t>
            </w:r>
          </w:p>
        </w:tc>
        <w:tc>
          <w:tcPr>
            <w:tcW w:w="0" w:type="dxa"/>
            <w:vAlign w:val="bottom"/>
          </w:tcPr>
          <w:p>
            <w:pPr>
              <w:spacing w:after="0"/>
              <w:rPr>
                <w:sz w:val="1"/>
                <w:szCs w:val="1"/>
                <w:color w:val="auto"/>
              </w:rPr>
            </w:pPr>
          </w:p>
        </w:tc>
      </w:tr>
      <w:tr>
        <w:trPr>
          <w:trHeight w:val="243"/>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110,813</w:t>
            </w:r>
          </w:p>
        </w:tc>
        <w:tc>
          <w:tcPr>
            <w:tcW w:w="0" w:type="dxa"/>
            <w:vAlign w:val="bottom"/>
          </w:tcPr>
          <w:p>
            <w:pPr>
              <w:spacing w:after="0"/>
              <w:rPr>
                <w:sz w:val="1"/>
                <w:szCs w:val="1"/>
                <w:color w:val="auto"/>
              </w:rPr>
            </w:pPr>
          </w:p>
        </w:tc>
      </w:tr>
      <w:tr>
        <w:trPr>
          <w:trHeight w:val="243"/>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4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In-place lease and above market intangibles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58,244</w:t>
            </w:r>
          </w:p>
        </w:tc>
        <w:tc>
          <w:tcPr>
            <w:tcW w:w="0" w:type="dxa"/>
            <w:vAlign w:val="bottom"/>
          </w:tcPr>
          <w:p>
            <w:pPr>
              <w:spacing w:after="0"/>
              <w:rPr>
                <w:sz w:val="1"/>
                <w:szCs w:val="1"/>
                <w:color w:val="auto"/>
              </w:rPr>
            </w:pPr>
          </w:p>
        </w:tc>
      </w:tr>
      <w:tr>
        <w:trPr>
          <w:trHeight w:val="243"/>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lease intangibles</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3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370,039</w:t>
            </w:r>
          </w:p>
        </w:tc>
        <w:tc>
          <w:tcPr>
            <w:tcW w:w="0" w:type="dxa"/>
            <w:vAlign w:val="bottom"/>
          </w:tcPr>
          <w:p>
            <w:pPr>
              <w:spacing w:after="0"/>
              <w:rPr>
                <w:sz w:val="1"/>
                <w:szCs w:val="1"/>
                <w:color w:val="auto"/>
              </w:rPr>
            </w:pPr>
          </w:p>
        </w:tc>
      </w:tr>
      <w:tr>
        <w:trPr>
          <w:trHeight w:val="243"/>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working capital assumed</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 applied</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43"/>
        </w:trPr>
        <w:tc>
          <w:tcPr>
            <w:tcW w:w="40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3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purchase price</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354,237</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Investments in Real Estate Debt</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7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details the Company’s investments in real estate debt ($ in thousands):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 Debt</w:t>
            </w:r>
          </w:p>
        </w:tc>
        <w:tc>
          <w:tcPr>
            <w:tcW w:w="80" w:type="dxa"/>
            <w:vAlign w:val="bottom"/>
            <w:vMerge w:val="restart"/>
          </w:tcPr>
          <w:p>
            <w:pPr>
              <w:spacing w:after="0"/>
              <w:rPr>
                <w:sz w:val="15"/>
                <w:szCs w:val="15"/>
                <w:color w:val="auto"/>
              </w:rPr>
            </w:pPr>
          </w:p>
        </w:tc>
        <w:tc>
          <w:tcPr>
            <w:tcW w:w="1180" w:type="dxa"/>
            <w:vAlign w:val="bottom"/>
            <w:vMerge w:val="continue"/>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Rating</w:t>
            </w:r>
          </w:p>
        </w:tc>
        <w:tc>
          <w:tcPr>
            <w:tcW w:w="100" w:type="dxa"/>
            <w:vAlign w:val="bottom"/>
            <w:vMerge w:val="restart"/>
          </w:tcPr>
          <w:p>
            <w:pPr>
              <w:spacing w:after="0"/>
              <w:rPr>
                <w:sz w:val="15"/>
                <w:szCs w:val="15"/>
                <w:color w:val="auto"/>
              </w:rPr>
            </w:pPr>
          </w:p>
        </w:tc>
        <w:tc>
          <w:tcPr>
            <w:tcW w:w="12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Maturity</w:t>
            </w:r>
          </w:p>
        </w:tc>
        <w:tc>
          <w:tcPr>
            <w:tcW w:w="140" w:type="dxa"/>
            <w:vAlign w:val="bottom"/>
          </w:tcPr>
          <w:p>
            <w:pPr>
              <w:spacing w:after="0"/>
              <w:rPr>
                <w:sz w:val="15"/>
                <w:szCs w:val="15"/>
                <w:color w:val="auto"/>
              </w:rPr>
            </w:pP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0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0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58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vMerge w:val="restart"/>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Not Rated</w:t>
            </w:r>
          </w:p>
        </w:tc>
        <w:tc>
          <w:tcPr>
            <w:tcW w:w="1240" w:type="dxa"/>
            <w:vAlign w:val="bottom"/>
            <w:gridSpan w:val="2"/>
            <w:shd w:val="clear" w:color="auto" w:fill="CFF0FC"/>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7"/>
              </w:rPr>
              <w:t>SOFR +</w:t>
            </w:r>
          </w:p>
        </w:tc>
        <w:tc>
          <w:tcPr>
            <w:tcW w:w="122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16, 2028</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358,600</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358,542</w:t>
            </w:r>
          </w:p>
        </w:tc>
        <w:tc>
          <w:tcPr>
            <w:tcW w:w="100" w:type="dxa"/>
            <w:vAlign w:val="bottom"/>
            <w:shd w:val="clear" w:color="auto" w:fill="CFF0FC"/>
          </w:tcPr>
          <w:p>
            <w:pPr>
              <w:spacing w:after="0"/>
              <w:rPr>
                <w:sz w:val="16"/>
                <w:szCs w:val="16"/>
                <w:color w:val="auto"/>
              </w:rPr>
            </w:pPr>
          </w:p>
        </w:tc>
        <w:tc>
          <w:tcPr>
            <w:tcW w:w="30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224,600</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224,600</w:t>
            </w:r>
          </w:p>
        </w:tc>
        <w:tc>
          <w:tcPr>
            <w:tcW w:w="0" w:type="dxa"/>
            <w:vAlign w:val="bottom"/>
          </w:tcPr>
          <w:p>
            <w:pPr>
              <w:spacing w:after="0"/>
              <w:rPr>
                <w:sz w:val="1"/>
                <w:szCs w:val="1"/>
                <w:color w:val="auto"/>
              </w:rPr>
            </w:pPr>
          </w:p>
        </w:tc>
      </w:tr>
      <w:tr>
        <w:trPr>
          <w:trHeight w:val="140"/>
        </w:trPr>
        <w:tc>
          <w:tcPr>
            <w:tcW w:w="158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180" w:type="dxa"/>
            <w:vAlign w:val="bottom"/>
            <w:vMerge w:val="continue"/>
            <w:shd w:val="clear" w:color="auto" w:fill="CFF0FC"/>
          </w:tcPr>
          <w:p>
            <w:pPr>
              <w:spacing w:after="0"/>
              <w:rPr>
                <w:sz w:val="12"/>
                <w:szCs w:val="12"/>
                <w:color w:val="auto"/>
              </w:rPr>
            </w:pPr>
          </w:p>
        </w:tc>
        <w:tc>
          <w:tcPr>
            <w:tcW w:w="1240" w:type="dxa"/>
            <w:vAlign w:val="bottom"/>
            <w:gridSpan w:val="2"/>
            <w:vMerge w:val="continue"/>
            <w:shd w:val="clear" w:color="auto" w:fill="CFF0FC"/>
          </w:tcPr>
          <w:p>
            <w:pPr>
              <w:spacing w:after="0"/>
              <w:rPr>
                <w:sz w:val="12"/>
                <w:szCs w:val="12"/>
                <w:color w:val="auto"/>
              </w:rPr>
            </w:pPr>
          </w:p>
        </w:tc>
        <w:tc>
          <w:tcPr>
            <w:tcW w:w="1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2.49%</w:t>
            </w: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80" w:type="dxa"/>
            <w:vAlign w:val="bottom"/>
            <w:gridSpan w:val="2"/>
            <w:vMerge w:val="continue"/>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-281940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-281940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-281940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-281940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Originations</w:t>
      </w:r>
    </w:p>
    <w:p>
      <w:pPr>
        <w:spacing w:after="0" w:line="10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January 14, 2026, the Company originated an $84.0 million whole loan, of which $80.0 million has been funded, for the acquisition and renovation of a 198-unit, 1986-vintage, townhome style multifamily property in the San Diego, California Metropolitan Statistical Area.</w:t>
      </w:r>
    </w:p>
    <w:p>
      <w:pPr>
        <w:spacing w:after="0" w:line="4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July 1, 2026, the Company originated a $60.0 million mortgage loan, of which $54.0 million has been funded, to finance the acquisition of a neighborhood shopping center in the Dallas, Texas Metropolitan Statistical Area. The mortgage loan has an initial term of three years and two one-year extension options.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amounts recognized for the Company's investments in real estate debt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14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7"/>
                <w:szCs w:val="17"/>
                <w:color w:val="auto"/>
              </w:rPr>
            </w:pPr>
          </w:p>
        </w:tc>
        <w:tc>
          <w:tcPr>
            <w:tcW w:w="27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7"/>
        </w:trPr>
        <w:tc>
          <w:tcPr>
            <w:tcW w:w="504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63"/>
        </w:trPr>
        <w:tc>
          <w:tcPr>
            <w:tcW w:w="5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8"/>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-539115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-539115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Real Estate-Related and Other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investments in real estate-related and other securities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15"/>
                <w:szCs w:val="15"/>
                <w:color w:val="auto"/>
              </w:rPr>
            </w:pP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15"/>
                <w:szCs w:val="15"/>
                <w:color w:val="auto"/>
              </w:rPr>
            </w:pPr>
          </w:p>
        </w:tc>
        <w:tc>
          <w:tcPr>
            <w:tcW w:w="8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2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Maturity</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Face Amount</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Face Amount</w:t>
            </w:r>
          </w:p>
        </w:tc>
        <w:tc>
          <w:tcPr>
            <w:tcW w:w="100" w:type="dxa"/>
            <w:vAlign w:val="bottom"/>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Coupon</w:t>
            </w:r>
          </w:p>
        </w:tc>
        <w:tc>
          <w:tcPr>
            <w:tcW w:w="10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83"/>
        </w:trPr>
        <w:tc>
          <w:tcPr>
            <w:tcW w:w="158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CMBS</w:t>
            </w:r>
          </w:p>
        </w:tc>
        <w:tc>
          <w:tcPr>
            <w:tcW w:w="1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August 19,</w:t>
            </w:r>
          </w:p>
        </w:tc>
        <w:tc>
          <w:tcPr>
            <w:tcW w:w="3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8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r>
        <w:trPr>
          <w:trHeight w:val="148"/>
        </w:trPr>
        <w:tc>
          <w:tcPr>
            <w:tcW w:w="1580" w:type="dxa"/>
            <w:vAlign w:val="bottom"/>
            <w:gridSpan w:val="2"/>
            <w:vMerge w:val="continue"/>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c>
          <w:tcPr>
            <w:tcW w:w="10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400" w:type="dxa"/>
            <w:vAlign w:val="bottom"/>
            <w:gridSpan w:val="3"/>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-281940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-281940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-281940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amounts recognized for the Company's investments in real estate-related and other securities ($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7"/>
                <w:szCs w:val="17"/>
                <w:color w:val="auto"/>
              </w:rPr>
            </w:pPr>
          </w:p>
        </w:tc>
        <w:tc>
          <w:tcPr>
            <w:tcW w:w="27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1"/>
        </w:trPr>
        <w:tc>
          <w:tcPr>
            <w:tcW w:w="5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39"/>
        </w:trPr>
        <w:tc>
          <w:tcPr>
            <w:tcW w:w="506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center"/>
              <w:ind w:left="430"/>
              <w:spacing w:after="0"/>
              <w:rPr>
                <w:sz w:val="20"/>
                <w:szCs w:val="20"/>
                <w:color w:val="auto"/>
              </w:rPr>
            </w:pPr>
            <w:r>
              <w:rPr>
                <w:rFonts w:ascii="Times New Roman" w:cs="Times New Roman" w:eastAsia="Times New Roman" w:hAnsi="Times New Roman"/>
                <w:sz w:val="18"/>
                <w:szCs w:val="18"/>
                <w:color w:val="auto"/>
                <w:w w:val="96"/>
              </w:rPr>
              <w:t>342</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gain</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(207)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gain</w:t>
            </w:r>
          </w:p>
        </w:tc>
        <w:tc>
          <w:tcPr>
            <w:tcW w:w="940" w:type="dxa"/>
            <w:vAlign w:val="bottom"/>
            <w:shd w:val="clear" w:color="auto" w:fill="CFF0FC"/>
          </w:tcPr>
          <w:p>
            <w:pPr>
              <w:spacing w:after="0"/>
              <w:rPr>
                <w:sz w:val="23"/>
                <w:szCs w:val="23"/>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3"/>
                <w:szCs w:val="23"/>
                <w:color w:val="auto"/>
              </w:rPr>
            </w:pPr>
          </w:p>
        </w:tc>
        <w:tc>
          <w:tcPr>
            <w:tcW w:w="940" w:type="dxa"/>
            <w:vAlign w:val="bottom"/>
            <w:shd w:val="clear" w:color="auto" w:fill="CFF0FC"/>
          </w:tcPr>
          <w:p>
            <w:pPr>
              <w:jc w:val="center"/>
              <w:ind w:left="430"/>
              <w:spacing w:after="0"/>
              <w:rPr>
                <w:sz w:val="20"/>
                <w:szCs w:val="20"/>
                <w:color w:val="auto"/>
              </w:rPr>
            </w:pPr>
            <w:r>
              <w:rPr>
                <w:rFonts w:ascii="Times New Roman" w:cs="Times New Roman" w:eastAsia="Times New Roman" w:hAnsi="Times New Roman"/>
                <w:sz w:val="18"/>
                <w:szCs w:val="18"/>
                <w:color w:val="auto"/>
                <w:w w:val="96"/>
              </w:rPr>
              <w:t>171</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3"/>
                <w:szCs w:val="2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6"/>
              </w:rPr>
              <w:t>306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-710565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-710565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the Company’s intangible assets and liabilities consisted of the following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20" w:type="dxa"/>
            <w:vAlign w:val="bottom"/>
            <w:tcBorders>
              <w:top w:val="single" w:sz="8" w:color="auto"/>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In-place lease intangibles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124,689</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0" w:type="dxa"/>
            <w:vAlign w:val="bottom"/>
          </w:tcPr>
          <w:p>
            <w:pPr>
              <w:spacing w:after="0"/>
              <w:rPr>
                <w:sz w:val="1"/>
                <w:szCs w:val="1"/>
                <w:color w:val="auto"/>
              </w:rPr>
            </w:pPr>
          </w:p>
        </w:tc>
      </w:tr>
      <w:tr>
        <w:trPr>
          <w:trHeight w:val="270"/>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Above-market lease intangibles</w:t>
            </w:r>
          </w:p>
        </w:tc>
        <w:tc>
          <w:tcPr>
            <w:tcW w:w="220" w:type="dxa"/>
            <w:vAlign w:val="bottom"/>
            <w:tcBorders>
              <w:bottom w:val="single" w:sz="8" w:color="auto"/>
            </w:tcBorders>
            <w:shd w:val="clear" w:color="auto" w:fill="CFF0FC"/>
          </w:tcPr>
          <w:p>
            <w:pPr>
              <w:spacing w:after="0"/>
              <w:rPr>
                <w:sz w:val="23"/>
                <w:szCs w:val="23"/>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80,874</w:t>
            </w:r>
          </w:p>
        </w:tc>
        <w:tc>
          <w:tcPr>
            <w:tcW w:w="0" w:type="dxa"/>
            <w:vAlign w:val="bottom"/>
          </w:tcPr>
          <w:p>
            <w:pPr>
              <w:spacing w:after="0"/>
              <w:rPr>
                <w:sz w:val="1"/>
                <w:szCs w:val="1"/>
                <w:color w:val="auto"/>
              </w:rPr>
            </w:pPr>
          </w:p>
        </w:tc>
      </w:tr>
      <w:tr>
        <w:trPr>
          <w:trHeight w:val="25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2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In-place lease amortization</w:t>
            </w:r>
          </w:p>
        </w:tc>
        <w:tc>
          <w:tcPr>
            <w:tcW w:w="2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70"/>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Above-market lease amortization</w:t>
            </w:r>
          </w:p>
        </w:tc>
        <w:tc>
          <w:tcPr>
            <w:tcW w:w="220" w:type="dxa"/>
            <w:vAlign w:val="bottom"/>
            <w:tcBorders>
              <w:bottom w:val="single" w:sz="8" w:color="auto"/>
            </w:tcBorders>
            <w:shd w:val="clear" w:color="auto" w:fill="CFF0FC"/>
          </w:tcPr>
          <w:p>
            <w:pPr>
              <w:spacing w:after="0"/>
              <w:rPr>
                <w:sz w:val="23"/>
                <w:szCs w:val="23"/>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(22,326)</w:t>
            </w:r>
          </w:p>
        </w:tc>
        <w:tc>
          <w:tcPr>
            <w:tcW w:w="0" w:type="dxa"/>
            <w:vAlign w:val="bottom"/>
          </w:tcPr>
          <w:p>
            <w:pPr>
              <w:spacing w:after="0"/>
              <w:rPr>
                <w:sz w:val="1"/>
                <w:szCs w:val="1"/>
                <w:color w:val="auto"/>
              </w:rPr>
            </w:pPr>
          </w:p>
        </w:tc>
      </w:tr>
      <w:tr>
        <w:trPr>
          <w:trHeight w:val="268"/>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96,588</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58,548</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liabilities:</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9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Below-market lease intangibles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Below-market lease amortization</w:t>
            </w:r>
          </w:p>
        </w:tc>
        <w:tc>
          <w:tcPr>
            <w:tcW w:w="220" w:type="dxa"/>
            <w:vAlign w:val="bottom"/>
            <w:tcBorders>
              <w:bottom w:val="single" w:sz="8" w:color="auto"/>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-864870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-1028065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-2365375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estimated future amortization on the Company’s intangibles for each of the next five years and thereafter as of September 30, 2026 is as follows ($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In-place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Above-market</w:t>
            </w:r>
          </w:p>
        </w:tc>
        <w:tc>
          <w:tcPr>
            <w:tcW w:w="14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Below-market</w:t>
            </w:r>
          </w:p>
        </w:tc>
      </w:tr>
      <w:tr>
        <w:trPr>
          <w:trHeight w:val="241"/>
        </w:trPr>
        <w:tc>
          <w:tcPr>
            <w:tcW w:w="66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Lease Intangibles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Lease Intangibles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Lease Intangibles</w:t>
            </w:r>
          </w:p>
        </w:tc>
      </w:tr>
      <w:tr>
        <w:trPr>
          <w:trHeight w:val="252"/>
        </w:trPr>
        <w:tc>
          <w:tcPr>
            <w:tcW w:w="6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7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7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70"/>
        </w:trPr>
        <w:tc>
          <w:tcPr>
            <w:tcW w:w="6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62"/>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89,700</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(8,802)</w:t>
            </w: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in-place lease intangible amortization is recorded in depreciation and amortization while the above-market and below-market intangible amortization is recorded in rental revenue on the Company's Condensed Consolidated Statements of Operations.</w:t>
      </w:r>
    </w:p>
    <w:p>
      <w:pPr>
        <w:spacing w:after="0" w:line="36" w:lineRule="exact"/>
        <w:rPr>
          <w:sz w:val="20"/>
          <w:szCs w:val="20"/>
          <w:color w:val="auto"/>
        </w:rPr>
      </w:pPr>
    </w:p>
    <w:p>
      <w:pPr>
        <w:ind w:right="5040" w:firstLine="8"/>
        <w:spacing w:after="0" w:line="370"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Mortgage Notes, Repurchase Facility and Unsecured Revolving Credit Facility </w:t>
      </w:r>
      <w:r>
        <w:rPr>
          <w:rFonts w:ascii="Times New Roman" w:cs="Times New Roman" w:eastAsia="Times New Roman" w:hAnsi="Times New Roman"/>
          <w:sz w:val="18"/>
          <w:szCs w:val="18"/>
          <w:i w:val="1"/>
          <w:iCs w:val="1"/>
          <w:color w:val="auto"/>
        </w:rPr>
        <w:t>Mortgage notes</w:t>
      </w:r>
    </w:p>
    <w:p>
      <w:pPr>
        <w:spacing w:after="0"/>
        <w:rPr>
          <w:sz w:val="20"/>
          <w:szCs w:val="20"/>
          <w:color w:val="auto"/>
        </w:rPr>
      </w:pPr>
      <w:r>
        <w:rPr>
          <w:rFonts w:ascii="Times New Roman" w:cs="Times New Roman" w:eastAsia="Times New Roman" w:hAnsi="Times New Roman"/>
          <w:sz w:val="18"/>
          <w:szCs w:val="18"/>
          <w:color w:val="auto"/>
        </w:rPr>
        <w:t>The following is a summary of the mortgage notes secured by the Company’s properties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Principal Balance Outstanding</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16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80" w:type="dxa"/>
            <w:vAlign w:val="bottom"/>
            <w:vMerge w:val="restart"/>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00" w:type="dxa"/>
            <w:vAlign w:val="bottom"/>
            <w:vMerge w:val="restart"/>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4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vMerge w:val="continue"/>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FF0FC"/>
            </w:tcBorders>
            <w:vMerge w:val="continue"/>
          </w:tcPr>
          <w:p>
            <w:pPr>
              <w:spacing w:after="0"/>
              <w:rPr>
                <w:sz w:val="21"/>
                <w:szCs w:val="21"/>
                <w:color w:val="auto"/>
              </w:rPr>
            </w:pPr>
          </w:p>
        </w:tc>
        <w:tc>
          <w:tcPr>
            <w:tcW w:w="1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Fixed rate debt secured by our properties</w:t>
            </w:r>
          </w:p>
        </w:tc>
        <w:tc>
          <w:tcPr>
            <w:tcW w:w="1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Caroline West Gray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c>
          <w:tcPr>
            <w:tcW w:w="100" w:type="dxa"/>
            <w:vAlign w:val="bottom"/>
          </w:tcPr>
          <w:p>
            <w:pPr>
              <w:spacing w:after="0"/>
              <w:rPr>
                <w:sz w:val="22"/>
                <w:szCs w:val="22"/>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Caroline Post Oak</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c>
          <w:tcPr>
            <w:tcW w:w="100" w:type="dxa"/>
            <w:vAlign w:val="bottom"/>
            <w:shd w:val="clear" w:color="auto" w:fill="CFF0FC"/>
          </w:tcPr>
          <w:p>
            <w:pPr>
              <w:spacing w:after="0"/>
              <w:rPr>
                <w:sz w:val="24"/>
                <w:szCs w:val="24"/>
                <w:color w:val="auto"/>
              </w:rPr>
            </w:pPr>
          </w:p>
        </w:tc>
        <w:tc>
          <w:tcPr>
            <w:tcW w:w="20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Coda on Centre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c>
          <w:tcPr>
            <w:tcW w:w="100" w:type="dxa"/>
            <w:vAlign w:val="bottom"/>
          </w:tcPr>
          <w:p>
            <w:pPr>
              <w:spacing w:after="0"/>
              <w:rPr>
                <w:sz w:val="22"/>
                <w:szCs w:val="22"/>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May 1, 2029</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gridSpan w:val="2"/>
            <w:shd w:val="clear" w:color="auto" w:fill="CFF0FC"/>
          </w:tcPr>
          <w:p>
            <w:pPr>
              <w:ind w:left="180"/>
              <w:spacing w:after="0" w:line="250" w:lineRule="exact"/>
              <w:rPr>
                <w:sz w:val="20"/>
                <w:szCs w:val="20"/>
                <w:color w:val="auto"/>
              </w:rPr>
            </w:pPr>
            <w:r>
              <w:rPr>
                <w:rFonts w:ascii="Times New Roman" w:cs="Times New Roman" w:eastAsia="Times New Roman" w:hAnsi="Times New Roman"/>
                <w:sz w:val="18"/>
                <w:szCs w:val="18"/>
                <w:color w:val="auto"/>
              </w:rPr>
              <w:t>The Elmstead</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10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1, 2031</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Bass Lofts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c>
          <w:tcPr>
            <w:tcW w:w="100" w:type="dxa"/>
            <w:vAlign w:val="bottom"/>
          </w:tcPr>
          <w:p>
            <w:pPr>
              <w:spacing w:after="0"/>
              <w:rPr>
                <w:sz w:val="22"/>
                <w:szCs w:val="22"/>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5, 2027</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One Brooklyn</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100" w:type="dxa"/>
            <w:vAlign w:val="bottom"/>
            <w:shd w:val="clear" w:color="auto" w:fill="CFF0FC"/>
          </w:tcPr>
          <w:p>
            <w:pPr>
              <w:spacing w:after="0"/>
              <w:rPr>
                <w:sz w:val="24"/>
                <w:szCs w:val="24"/>
                <w:color w:val="auto"/>
              </w:rPr>
            </w:pPr>
          </w:p>
        </w:tc>
        <w:tc>
          <w:tcPr>
            <w:tcW w:w="20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2028</w:t>
            </w:r>
          </w:p>
        </w:tc>
        <w:tc>
          <w:tcPr>
            <w:tcW w:w="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Charleston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w:t>
            </w:r>
          </w:p>
        </w:tc>
        <w:tc>
          <w:tcPr>
            <w:tcW w:w="100" w:type="dxa"/>
            <w:vAlign w:val="bottom"/>
          </w:tcPr>
          <w:p>
            <w:pPr>
              <w:spacing w:after="0"/>
              <w:rPr>
                <w:sz w:val="22"/>
                <w:szCs w:val="22"/>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1, 2030</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Baker Chocolate</w:t>
            </w: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3.91%</w:t>
            </w:r>
          </w:p>
        </w:tc>
        <w:tc>
          <w:tcPr>
            <w:tcW w:w="100" w:type="dxa"/>
            <w:vAlign w:val="bottom"/>
            <w:shd w:val="clear" w:color="auto" w:fill="CFF0FC"/>
          </w:tcPr>
          <w:p>
            <w:pPr>
              <w:spacing w:after="0"/>
              <w:rPr>
                <w:sz w:val="23"/>
                <w:szCs w:val="23"/>
                <w:color w:val="auto"/>
              </w:rPr>
            </w:pPr>
          </w:p>
        </w:tc>
        <w:tc>
          <w:tcPr>
            <w:tcW w:w="20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2028</w:t>
            </w:r>
          </w:p>
        </w:tc>
        <w:tc>
          <w:tcPr>
            <w:tcW w:w="160" w:type="dxa"/>
            <w:vAlign w:val="bottom"/>
            <w:tcBorders>
              <w:bottom w:val="single" w:sz="8" w:color="auto"/>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fixed rate</w:t>
            </w:r>
          </w:p>
        </w:tc>
        <w:tc>
          <w:tcPr>
            <w:tcW w:w="16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9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239,427</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Variable rate debt secured by our properties</w:t>
            </w: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6200 Bristol</w:t>
            </w:r>
            <w:r>
              <w:rPr>
                <w:rFonts w:ascii="Times New Roman" w:cs="Times New Roman" w:eastAsia="Times New Roman" w:hAnsi="Times New Roman"/>
                <w:sz w:val="23"/>
                <w:szCs w:val="23"/>
                <w:color w:val="auto"/>
                <w:vertAlign w:val="superscript"/>
              </w:rPr>
              <w:t>(2)</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SOFR + 2.05%</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1, 2029</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Norfolk Industrial Portfolio</w:t>
            </w:r>
            <w:r>
              <w:rPr>
                <w:rFonts w:ascii="Times New Roman" w:cs="Times New Roman" w:eastAsia="Times New Roman" w:hAnsi="Times New Roman"/>
                <w:sz w:val="23"/>
                <w:szCs w:val="23"/>
                <w:color w:val="auto"/>
                <w:vertAlign w:val="superscript"/>
              </w:rPr>
              <w:t>(3)</w:t>
            </w:r>
          </w:p>
        </w:tc>
        <w:tc>
          <w:tcPr>
            <w:tcW w:w="1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SOFR + 1.75%</w:t>
            </w:r>
          </w:p>
        </w:tc>
        <w:tc>
          <w:tcPr>
            <w:tcW w:w="20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19, 2030</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Preserve at Pine Valley</w:t>
            </w:r>
            <w:r>
              <w:rPr>
                <w:rFonts w:ascii="Times New Roman" w:cs="Times New Roman" w:eastAsia="Times New Roman" w:hAnsi="Times New Roman"/>
                <w:sz w:val="23"/>
                <w:szCs w:val="23"/>
                <w:color w:val="auto"/>
                <w:vertAlign w:val="superscript"/>
              </w:rPr>
              <w:t>(4)</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SOFR + 1.50%</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10, 2030</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Vineyard Commons</w:t>
            </w:r>
            <w:r>
              <w:rPr>
                <w:rFonts w:ascii="Times New Roman" w:cs="Times New Roman" w:eastAsia="Times New Roman" w:hAnsi="Times New Roman"/>
                <w:sz w:val="23"/>
                <w:szCs w:val="23"/>
                <w:color w:val="auto"/>
                <w:vertAlign w:val="superscript"/>
              </w:rPr>
              <w:t>(5)</w:t>
            </w:r>
          </w:p>
        </w:tc>
        <w:tc>
          <w:tcPr>
            <w:tcW w:w="178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SOFR + 1.40%</w:t>
            </w:r>
          </w:p>
        </w:tc>
        <w:tc>
          <w:tcPr>
            <w:tcW w:w="20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1, 2030</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FF0FC"/>
            </w:tcBorders>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Stablewood</w:t>
            </w:r>
            <w:r>
              <w:rPr>
                <w:rFonts w:ascii="Times New Roman" w:cs="Times New Roman" w:eastAsia="Times New Roman" w:hAnsi="Times New Roman"/>
                <w:sz w:val="23"/>
                <w:szCs w:val="23"/>
                <w:color w:val="auto"/>
                <w:vertAlign w:val="superscript"/>
              </w:rPr>
              <w:t>(6)</w:t>
            </w:r>
          </w:p>
        </w:tc>
        <w:tc>
          <w:tcPr>
            <w:tcW w:w="1780" w:type="dxa"/>
            <w:vAlign w:val="bottom"/>
            <w:tcBorders>
              <w:bottom w:val="single" w:sz="8" w:color="CFF0FC"/>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SOFR + 3.75%</w:t>
            </w:r>
          </w:p>
        </w:tc>
        <w:tc>
          <w:tcPr>
            <w:tcW w:w="2040" w:type="dxa"/>
            <w:vAlign w:val="bottom"/>
            <w:tcBorders>
              <w:bottom w:val="single" w:sz="8" w:color="CFF0FC"/>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8, 2028</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variable rate</w:t>
            </w: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133,044</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secured by real estate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9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Mortgage discount, net</w:t>
            </w:r>
          </w:p>
        </w:tc>
        <w:tc>
          <w:tcPr>
            <w:tcW w:w="16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9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2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secured by our properties</w:t>
            </w:r>
          </w:p>
        </w:tc>
        <w:tc>
          <w:tcPr>
            <w:tcW w:w="16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9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367,586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-694055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-856615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-1542415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-2468245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-4156710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-4156710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-4156710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-4156710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loan is comprised of a senior and a mezzanine loan. The interest rate and maturity date presented are the weighted average.</w:t>
      </w:r>
    </w:p>
    <w:p>
      <w:pPr>
        <w:spacing w:after="0" w:line="4" w:lineRule="exact"/>
        <w:rPr>
          <w:rFonts w:ascii="Times New Roman" w:cs="Times New Roman" w:eastAsia="Times New Roman" w:hAnsi="Times New Roman"/>
          <w:sz w:val="19"/>
          <w:szCs w:val="19"/>
          <w:color w:val="auto"/>
          <w:vertAlign w:val="superscript"/>
        </w:rPr>
      </w:pPr>
    </w:p>
    <w:p>
      <w:pPr>
        <w:ind w:left="160" w:hanging="152"/>
        <w:spacing w:after="0" w:line="235"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entered into an interest rate swap that was not designated as a hedge, which fixed the rate at 6.26%.</w:t>
      </w:r>
    </w:p>
    <w:p>
      <w:pPr>
        <w:spacing w:after="0" w:line="2" w:lineRule="exact"/>
        <w:rPr>
          <w:rFonts w:ascii="Times New Roman" w:cs="Times New Roman" w:eastAsia="Times New Roman" w:hAnsi="Times New Roman"/>
          <w:sz w:val="19"/>
          <w:szCs w:val="19"/>
          <w:color w:val="auto"/>
          <w:vertAlign w:val="superscript"/>
        </w:rPr>
      </w:pPr>
    </w:p>
    <w:p>
      <w:pPr>
        <w:ind w:left="180" w:right="320" w:hanging="172"/>
        <w:spacing w:after="0"/>
        <w:tabs>
          <w:tab w:leader="none" w:pos="16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 entered into an interest rate swap that was not designated as a hedge, which fixed the rate at 5.41% on $43.7 million of the outstanding principal amount.</w:t>
      </w:r>
    </w:p>
    <w:p>
      <w:pPr>
        <w:spacing w:after="0" w:line="175" w:lineRule="exact"/>
        <w:rPr>
          <w:rFonts w:ascii="Times New Roman" w:cs="Times New Roman" w:eastAsia="Times New Roman" w:hAnsi="Times New Roman"/>
          <w:sz w:val="20"/>
          <w:szCs w:val="20"/>
          <w:color w:val="auto"/>
          <w:vertAlign w:val="superscript"/>
        </w:rPr>
      </w:pPr>
    </w:p>
    <w:p>
      <w:pPr>
        <w:ind w:left="160" w:hanging="152"/>
        <w:spacing w:after="0" w:line="235"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entered into an interest rate swap that was not designated as a hedge, which fixed the rate at 4.90%.</w:t>
      </w:r>
    </w:p>
    <w:p>
      <w:pPr>
        <w:spacing w:after="0" w:line="2" w:lineRule="exact"/>
        <w:rPr>
          <w:rFonts w:ascii="Times New Roman" w:cs="Times New Roman" w:eastAsia="Times New Roman" w:hAnsi="Times New Roman"/>
          <w:sz w:val="19"/>
          <w:szCs w:val="19"/>
          <w:color w:val="auto"/>
          <w:vertAlign w:val="superscript"/>
        </w:rPr>
      </w:pPr>
    </w:p>
    <w:p>
      <w:pPr>
        <w:ind w:left="160" w:hanging="152"/>
        <w:spacing w:after="0" w:line="222"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entered into an interest rate swap that was not designated as a hedge, which fixed the rate at 4.88%.</w:t>
      </w:r>
    </w:p>
    <w:p>
      <w:pPr>
        <w:ind w:left="160" w:hanging="152"/>
        <w:spacing w:after="0" w:line="235"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a line of credit secured by real estate with a maximum facility size of $50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future principal payments due under the Company’s mortgage notes as of September 30, 2026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Mortgage Notes</w:t>
            </w:r>
          </w:p>
        </w:tc>
      </w:tr>
      <w:tr>
        <w:trPr>
          <w:trHeight w:val="270"/>
        </w:trPr>
        <w:tc>
          <w:tcPr>
            <w:tcW w:w="9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6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w:t>
            </w:r>
          </w:p>
        </w:tc>
      </w:tr>
      <w:tr>
        <w:trPr>
          <w:trHeight w:val="277"/>
        </w:trPr>
        <w:tc>
          <w:tcPr>
            <w:tcW w:w="9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43,657</w:t>
            </w:r>
          </w:p>
        </w:tc>
      </w:tr>
      <w:tr>
        <w:trPr>
          <w:trHeight w:val="26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125,273</w:t>
            </w:r>
          </w:p>
        </w:tc>
      </w:tr>
      <w:tr>
        <w:trPr>
          <w:trHeight w:val="277"/>
        </w:trPr>
        <w:tc>
          <w:tcPr>
            <w:tcW w:w="9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168,262</w:t>
            </w:r>
          </w:p>
        </w:tc>
      </w:tr>
      <w:tr>
        <w:trPr>
          <w:trHeight w:val="263"/>
        </w:trPr>
        <w:tc>
          <w:tcPr>
            <w:tcW w:w="97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19,493</w:t>
            </w:r>
          </w:p>
        </w:tc>
      </w:tr>
      <w:tr>
        <w:trPr>
          <w:trHeight w:val="288"/>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372,471</w:t>
            </w:r>
          </w:p>
        </w:tc>
      </w:tr>
      <w:tr>
        <w:trPr>
          <w:trHeight w:val="20"/>
        </w:trPr>
        <w:tc>
          <w:tcPr>
            <w:tcW w:w="9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-1250950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Facility</w:t>
      </w:r>
    </w:p>
    <w:p>
      <w:pPr>
        <w:spacing w:after="0" w:line="1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On August 22, 2024, the Company entered into a Master Repurchase Agreement (the “Repurchase Facility”). The Repurchase Facility initially provided for a maximum aggregate purchase price of $150.0 million and has a three-year term plus two, one-year extension options. Subject to the terms and conditions thereof, the Repurchase Facility provides for the purchase, sale and repurchase of senior mortgage loans and participation interests in performing senior mortgage loans satisfying certain conditions set forth in the Repurchase Facility. On November 14, 2025, the Repurchase Facility was amended to increase maximum aggregate purchase price from $150.0 million to $250.0 million. On July 13, 2026, the Repurchase Facility was amended to increase maximum aggregate purchase price from $250.0 million to $400.0 million.</w:t>
      </w:r>
    </w:p>
    <w:p>
      <w:pPr>
        <w:spacing w:after="0" w:line="8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Advances under the Repurchase Facility accrue interest at a per annum rate equal to the Term SOFR Base Rate (as defined in the Repurchase Facility) for a one-month period plus a margin as agreed upon for each transaction. The Repurchase Facility contains affirmative and negative covenants and provisions regarding events of default. The Operating Partnership has agreed to provide a limited guarantee of the obligations of the Company under the Repurchase Facility.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from the Repurchase Facility were used to originate the commercial mortgage loans (see Note 5).</w:t>
      </w:r>
    </w:p>
    <w:p>
      <w:pPr>
        <w:spacing w:after="0" w:line="10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borrowings from the Repurchase Facility as of September 30, 2026 and December 31, 2025 are detailed in the following table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14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Maximum Facility</w:t>
            </w:r>
          </w:p>
        </w:tc>
        <w:tc>
          <w:tcPr>
            <w:tcW w:w="100" w:type="dxa"/>
            <w:vAlign w:val="bottom"/>
          </w:tcPr>
          <w:p>
            <w:pPr>
              <w:spacing w:after="0"/>
              <w:rPr>
                <w:sz w:val="15"/>
                <w:szCs w:val="15"/>
                <w:color w:val="auto"/>
              </w:rPr>
            </w:pPr>
          </w:p>
        </w:tc>
        <w:tc>
          <w:tcPr>
            <w:tcW w:w="17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8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5"/>
                <w:szCs w:val="15"/>
                <w:color w:val="auto"/>
              </w:rPr>
            </w:pPr>
          </w:p>
        </w:tc>
        <w:tc>
          <w:tcPr>
            <w:tcW w:w="14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32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Size</w:t>
            </w:r>
          </w:p>
        </w:tc>
        <w:tc>
          <w:tcPr>
            <w:tcW w:w="100" w:type="dxa"/>
            <w:vAlign w:val="bottom"/>
            <w:tcBorders>
              <w:bottom w:val="single" w:sz="8" w:color="CFF0FC"/>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8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Facility</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SOFR + 1.52%</w:t>
            </w:r>
          </w:p>
        </w:tc>
        <w:tc>
          <w:tcPr>
            <w:tcW w:w="17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August 22, 2027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268,950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168,450</w:t>
            </w:r>
          </w:p>
        </w:tc>
        <w:tc>
          <w:tcPr>
            <w:tcW w:w="0" w:type="dxa"/>
            <w:vAlign w:val="bottom"/>
          </w:tcPr>
          <w:p>
            <w:pPr>
              <w:spacing w:after="0"/>
              <w:rPr>
                <w:sz w:val="1"/>
                <w:szCs w:val="1"/>
                <w:color w:val="auto"/>
              </w:rPr>
            </w:pPr>
          </w:p>
        </w:tc>
      </w:tr>
      <w:tr>
        <w:trPr>
          <w:trHeight w:val="225"/>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deferred financing</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126"/>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CFF0FC"/>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6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68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3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268,453</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167,863</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-33655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-196215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-668020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-668020</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-668020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 is subject to various financial and operational covenants under certain of its mortgage notes and the Repurchase Facility. These covenants require the Company to maintain certain financial ratios, which may include leverage, debt yield, and debt service coverage, among others. As of September 30, 2026, the Company was in compliance with its loan covenants.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revolving credit facility</w:t>
      </w:r>
    </w:p>
    <w:p>
      <w:pPr>
        <w:spacing w:after="0" w:line="10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July 15, 2025, the Operating Partnership, as a borrower and certain subsidiaries of the Operating Partnership party thereto from time to time, as designated borrowers, entered into a credit agreement (the “Credit Agreement”) with Truist Bank (“Truist”), as the administrative agent and a letter of credit issuer, and each lender party thereto from time to time (the “Lenders”). The Credit Agreement provides for unsecured revolving credit commitments in an aggregate amount of up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to $325.0 million for revolving loans and letter of credit issuances, with an accordion feature pursuant to which the borrowers may request to increase the revolving commitments and create new term loan tranches in an additional aggregate amount of up to $675.0 million, subject to the satisfaction of certain conditions (the “Credit Facility”). The proceeds of the Credit Facility will be used for general business purposes, including, debt refinancing, property acquisitions, new construction, renovations, capital expenditures, expansions, tenant improvements, leasing commissions, refinancing of existing lines, financing acquisition of permitted investments, dividends, redemptions, closing costs and equity investments primarily associated with commercial real estate property acquisitions or refinancings. The Credit Facility is guaranteed by the Company and certain subsidiaries of the Operating Partnership. On August 27, 2026, the Credit Facility was amended to increase the aggregate amount from $325.0 million to $550.0 million. All other material terms of the Credit Agreement remain the same.</w:t>
      </w:r>
    </w:p>
    <w:p>
      <w:pPr>
        <w:spacing w:after="0" w:line="9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At the Operating Partnership’s election, revolving loans advanced under the Credit Agreement shall bear interest at a rate per annum equal to (a) a forward-looking term rate based on the secured overnight financing rate for the applicable interest period (“Term SOFR”), as selected by the Operating Partnership, plus an applicable margin ranging between 1.30% and 1.80% per annum (“Term SOFR Margin”), or (b) the highest of (i) the federal funds rate plus 0.50%,</w:t>
      </w:r>
    </w:p>
    <w:p>
      <w:pPr>
        <w:spacing w:after="0" w:line="2" w:lineRule="exact"/>
        <w:rPr>
          <w:sz w:val="20"/>
          <w:szCs w:val="20"/>
          <w:color w:val="auto"/>
        </w:rPr>
      </w:pPr>
    </w:p>
    <w:p>
      <w:pPr>
        <w:ind w:right="20" w:firstLine="8"/>
        <w:spacing w:after="0"/>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Truist’s prime rate, (iii) Term SOFR for a one month tenor in effect on such day plus 1.00%, and (iv) 1.00% (“Base Rate”), plus an applicable margin ranging between 0.30% and 0.80% per annum (“Base Rate Margin”). Letters of credit issued under the Credit Facility will accrue a letter of credit fee equal to the applicable Term SOFR Margin times the daily amount available to be drawn under such letter of credit.</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Revolving loans and letters of credit under the Credit Facility will mature on July 15, 2028, subject to any earlier termination in accordance with the terms of the Credit Agreement and to certain extension options detailed therein.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borrowings from the Credit Facility as of September 30, 2026 and December 31, 2025 are detailed in the following table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58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Maximum Facility</w:t>
            </w:r>
          </w:p>
        </w:tc>
        <w:tc>
          <w:tcPr>
            <w:tcW w:w="17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5"/>
                <w:szCs w:val="15"/>
                <w:color w:val="auto"/>
              </w:rPr>
            </w:pPr>
          </w:p>
        </w:tc>
        <w:tc>
          <w:tcPr>
            <w:tcW w:w="1320" w:type="dxa"/>
            <w:vAlign w:val="bottom"/>
          </w:tcPr>
          <w:p>
            <w:pPr>
              <w:jc w:val="center"/>
              <w:ind w:right="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Size</w:t>
            </w:r>
          </w:p>
        </w:tc>
        <w:tc>
          <w:tcPr>
            <w:tcW w:w="100" w:type="dxa"/>
            <w:vAlign w:val="bottom"/>
            <w:tcBorders>
              <w:bottom w:val="single" w:sz="8" w:color="CFF0FC"/>
            </w:tcBorders>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00" w:type="dxa"/>
            <w:vAlign w:val="bottom"/>
            <w:tcBorders>
              <w:bottom w:val="single" w:sz="8" w:color="CFF0FC"/>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SOFR + 1.40%</w:t>
            </w:r>
          </w:p>
        </w:tc>
        <w:tc>
          <w:tcPr>
            <w:tcW w:w="156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July 15, 2028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305,500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Pursuant to the Credit Agreement, the Company has made certain representations and warranties and must comply with various covenants and reporting requirements. The Credit Agreement contains events of default for financings of this type. Upon the occurrence of certain events of default, Truist, as administrative agent, may, and at the instruction of the Lenders will, among other remedies, suspend the commitments of the Lenders and any obligation of the letter of credit issuers to make letter of credit extensions, terminate the commitments of the Lenders and any obligation of the letter of credit issuer to make letter of credit extensions, demand that existing letters of credit be cash collateralized, and declare the outstanding loans and other obligations under the Credit Facility immediately due and payable. As of September 30, 2026, the Company was in compliance with its loan covenants.</w:t>
      </w:r>
    </w:p>
    <w:p>
      <w:pPr>
        <w:spacing w:after="0" w:line="68" w:lineRule="exact"/>
        <w:rPr>
          <w:sz w:val="20"/>
          <w:szCs w:val="20"/>
          <w:color w:val="auto"/>
        </w:rPr>
      </w:pPr>
    </w:p>
    <w:p>
      <w:pPr>
        <w:ind w:right="8960" w:firstLine="8"/>
        <w:spacing w:after="0" w:line="391" w:lineRule="auto"/>
        <w:tabs>
          <w:tab w:leader="none" w:pos="1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Due to Affiliates</w:t>
      </w:r>
    </w:p>
    <w:p>
      <w:pPr>
        <w:spacing w:after="0" w:line="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details the components of due to affiliates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72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8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14,254</w:t>
            </w:r>
          </w:p>
        </w:tc>
      </w:tr>
      <w:tr>
        <w:trPr>
          <w:trHeight w:val="26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and offering costs</w:t>
            </w:r>
          </w:p>
        </w:tc>
        <w:tc>
          <w:tcPr>
            <w:tcW w:w="1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7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 servicing fees</w:t>
            </w:r>
          </w:p>
        </w:tc>
        <w:tc>
          <w:tcPr>
            <w:tcW w:w="16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w:t>
            </w:r>
          </w:p>
        </w:tc>
      </w:tr>
      <w:tr>
        <w:trPr>
          <w:trHeight w:val="26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w:t>
            </w:r>
          </w:p>
        </w:tc>
        <w:tc>
          <w:tcPr>
            <w:tcW w:w="16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7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160" w:type="dxa"/>
            <w:vAlign w:val="bottom"/>
            <w:tcBorders>
              <w:bottom w:val="single" w:sz="8" w:color="auto"/>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27,228</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28,969</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Adviser has advanced $13.7 million and $14.3 million of operating expenses on the Company’s behalf as of September 30, 2026 and December 31, 2025, respectively. Pursuant to the advisory agreement among the Company, the Operating Partnership and the Adviser (the “Advisory Agreement”), the Company began to reimburse the Adviser for all advanced operating expenses ratably over the 60 months starting May 1, 2026. For the three and nine months ended September 30, 2026, the Company reimbursed $0.7 million and $1.2 million, respectively, to the Adviser.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costs</w:t>
      </w:r>
    </w:p>
    <w:p>
      <w:pPr>
        <w:spacing w:after="0" w:line="1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Pursuant to the Advisory Agreement, the Adviser advanced amounts totaling $7.5 million of organization and offering costs (including legal, accounting, and other expenses attributable to the Company’s organization, but excluding upfront selling commissions, dealer manager fees and stockholder servicing fees) on behalf of the Company through July 22, 2024. Commencing on July 22, 2024, the Company began reimbursing the Adviser for all such advanced costs ratably over a 60-month period. During three and nine months ended September 30, 2026, the Company reimbursed $0.4 million and $1.1 million, respectively, to the Adviser.</w:t>
      </w:r>
    </w:p>
    <w:p>
      <w:pPr>
        <w:spacing w:after="0" w:line="6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outstanding organization and offering expenses due to the Adviser were $4.2 million and $5.4 million as of September 30, 2026 and December 31, 2025,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servicing fees</w:t>
      </w:r>
    </w:p>
    <w:p>
      <w:pPr>
        <w:spacing w:after="0" w:line="10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J.P. Morgan Institutional Investments Inc., a registered broker-dealer affiliated with the Adviser (the “Dealer Manager”), receives a stockholder servicing fee of 0.25%, 0.85%, 0.85% and 0.85% per annum of the aggregate NAV of the Company’s outstanding Class D shares, Class S shares, Class T shares and Class Y shares, respectively. The Company will cease paying the stockholder servicing fee with respect to any Class D share, Class S share, Class T share, and Class Y share sold in the primary offering (in the case of the Class D shares, Class S shares and Class T shares) and in the primary portion of the Class Y private offering (in the case of the Class Y shares) at the end of the month in which the total selling commissions, dealer manager fees and stockholder servicing fees paid with respect to the shares held by such stockholder would exceed 8.75% (or, in the case of Class T shares sold through certain participating broker-dealers, a lower limit as set forth in any applicable agreement between the Dealer Manager and a participating broker-dealer) of the gross proceeds from the sale of such shares (including the gross proceeds of any shares issued under the distribution reinvestment plan with respect thereto). At the end of such month, such Class D share, Class S share, Class T share or Class Y share (and any shares issued under the distribution reinvestment plan with respect thereto) will convert into a number of Class I shares (including any fractional shares) with an equivalent aggregate NAV of such share. The Company will accrue the cost of the lifetime stockholder servicing fee as an offering cost at the time each Class D, Class S and Class T share is sold during the primary offering, and, in the case of Class Y shares, at the time each Class Y share is sold during the private offering of Class Y shares. The Company’s obligations to pay stockholder servicing fees with respect to the Class D, Class S, Class T, and Class Y shares distributed in the Offerings will survive until such shares are no longer outstanding (including because such shares converted into Class I shares). As of September 30, 2026, the Company had accrued stockholder servicing fees of $8.6 million. Stockholder servicing fees are recorded as a component of due to affiliates on the Company’s Condensed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stockholder servicing fee with respect to Class E, Class I or Class X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and the Operating Partnership entered into the Advisory Agreement with the Adviser on May 31, 2022, which was last amended and restated on August 10, 2026. Pursuant to the Advisory Agreement, the Adviser is responsible for sourcing, evaluating and monitoring the Company’s investment opportunities and making decisions related to the acquisition, management, financing and disposition of the Company’s assets, in accordance with the Company’s investment objectives, guidelines, policies and limitations, subject to oversight by the Company’s board of directors.</w:t>
      </w:r>
    </w:p>
    <w:p>
      <w:pPr>
        <w:spacing w:after="0" w:line="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Adviser and certain of its Affiliates receive fees and compensation in connection with the ongoing management of the assets of the Company. The Adviser is paid a management fee equal to 1.00% of NAV per annum for Class D, Class I, Class S and Class T shares and 0.75% of NAV per annum for Class X and Class Y shares, payable monthly. The management fee is paid, at the Adviser’s election, in cash, Class E shares, or Class E units. The Class E shares are not subject to the management fee.</w:t>
      </w:r>
    </w:p>
    <w:p>
      <w:pPr>
        <w:spacing w:after="0" w:line="6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2026 and 2025, the Company incurred management fees of $0.9 million and $0.5 million, respectively. For the nine months ended September 30, 2026 and 2025, the Company incurred management fees of $2.4 million and $1.3 million, respectively. Management fees are recorded as a component of general and administrative expenses on the Company's Condensed Consolidated Statements of Operations. As of September 30, 2026, the Company had accrued management fees of $0.6 million. Management fees are recorded as a component of due to affiliates on the Company’s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performance participation allocation</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as general partner, and the Special Limited Partner entered into the Limited Partnership Agreement of the Operating Partnership on June 3, 2022, which was most recently amended and restated on August 10, 2026.</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Special Limited Partner holds a performance participation interest in the Operating Partnership that entitles it to receive an allocation from the Operating Partnership equal to (i) 12.5% of the annual Total Return, subject to a 5% annual Hurdle Amount and a High-Water Mark, with a Catch-Up (each term as defined in the Operating Partnership limited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8"/>
          <w:szCs w:val="18"/>
          <w:color w:val="auto"/>
        </w:rPr>
        <w:t>partnership agreement) with respect to Class D, I, S, and T units of the Operating Partnership and (ii) 10.0% of the annual Class X and Y Total Return, subject to a 7% Class X and Y Hurdle Amount and a Class X and Y High-Water Mark, with a 50% Class X and Y Catch-Up (each term as defined in the Operating Partnership’s limited partnership agreement) with respect to Class X units of the Operating Partnership and Class Y units of the Operating Partnership, respectively. Such allocation is measured on a calendar year basis, settled quarterly and accrued monthly. The performance participation interest is not paid on the Class E shares and Class E units. For the three months ended September 30, 2026, the Company did not incur any performance participation allocation. For the nine months ended September 30, 2026, the Company incurred $0.1 million of performance participation allocation. For the three and nine months ended September 30, 2025, the Company incurred $0.7 million in performance participation allocation. The performance participation allocation is recorded as a component of general and administrative expenses on the Company's Condensed Consolidated Statements of Operations. As of September 30, 2026, the Company had accrued performance participation allocation of $0.1 million. The performance participation allocation is recorded as a component of due to affiliates on the Company’s Condensed Consolidated Balance Sheets.</w:t>
      </w:r>
    </w:p>
    <w:p>
      <w:pPr>
        <w:spacing w:after="0" w:line="7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may retain certain of the Adviser’s affiliates for necessary services relating to the Company’s investments or its operations, including any administrative services, construction, special servicing, leasing, development, property oversight and other property management services, as well as services related to mortgage servicing, group purchasing, healthcare, consulting/brokerage, capital markets/credit origination, loan servicing, property, title or other types of insurance, management consulting and other similar operational matters.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JPMIM Investment</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a subscription agreement dated February 23, 2022, JPMIM agreed to purchase an aggregate of $100 million in Class E shares or Class E units, provided that, if the Company receives capital commitments from investors in the private placement of Class E shares exceeding $100 million (“Other Seed Investor Commitments”), JPMIM’s commitment may, in JPMIM’s discretion, be reduced by an amount equal to (i) the aggregate amount of Other Seed Investor Commitments, minus (ii) $100 million, provided that such reduction amount will not exceed $75 million.</w:t>
      </w:r>
    </w:p>
    <w:p>
      <w:pPr>
        <w:spacing w:after="0" w:line="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May 26, 2022, JPMIM’s Subscription Agreement dated February 23, 2022 for Class E shares or Class E units was amended to provide that the expiration of the JPMIM commitment was August 23, 2023; provided, that following such date JPMIM may, in its discretion, elect to purchase additional Class E shares or Class E units until July 22, 2025.</w:t>
      </w:r>
    </w:p>
    <w:p>
      <w:pPr>
        <w:spacing w:after="0" w:line="6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On July 14, 2025, the Company entered into a Second Amendment to the Subscription Agreement (the “Amendment”) by and among the Company, the Operating Partnership and the Adviser to amend the repurchase terms for shares of the Company and units of the Operating Partnership purchased by the Adviser. Pursuant to the Amendment, following the end of each month after the earlier of (i) the first date that the Company’s net asset value reaches $1.5 billion and (ii) July 22, 2025, the Company and/or the Operating Partnership will automatically, and without any further action by the Company, the Adviser or any affiliate thereof, repurchase or redeem, as applicable, from the Adviser a number of securities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The Company completed the full repurchase of the JPMIM Class E shares and Class E units in May 2026. As of September 30, 2026, all Class E shares and Class E units issued in the JPM Initial Capitalization have been repurchased by the Company. See Note 13 for further details.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Other Assets and Liabilities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2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other assets ($ in thousands):</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4"/>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7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inducement asset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8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sales-type leases, net</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2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7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receivables</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7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Pre-acquisition costs</w:t>
            </w:r>
          </w:p>
        </w:tc>
        <w:tc>
          <w:tcPr>
            <w:tcW w:w="2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7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3"/>
                <w:szCs w:val="23"/>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22,310</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payable, accrued expenses and other liabilities ($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7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80" w:type="dxa"/>
            <w:vAlign w:val="bottom"/>
            <w:tcBorders>
              <w:top w:val="single" w:sz="8" w:color="CFF0FC"/>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taxes payable</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7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payable</w:t>
            </w:r>
          </w:p>
        </w:tc>
        <w:tc>
          <w:tcPr>
            <w:tcW w:w="2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7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rental income</w:t>
            </w:r>
          </w:p>
        </w:tc>
        <w:tc>
          <w:tcPr>
            <w:tcW w:w="2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7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payable</w:t>
            </w:r>
            <w:r>
              <w:rPr>
                <w:rFonts w:ascii="Times New Roman" w:cs="Times New Roman" w:eastAsia="Times New Roman" w:hAnsi="Times New Roman"/>
                <w:sz w:val="23"/>
                <w:szCs w:val="23"/>
                <w:color w:val="auto"/>
                <w:vertAlign w:val="superscript"/>
              </w:rPr>
              <w:t>(1)</w:t>
            </w:r>
          </w:p>
        </w:tc>
        <w:tc>
          <w:tcPr>
            <w:tcW w:w="20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w:t>
            </w:r>
          </w:p>
        </w:tc>
      </w:tr>
      <w:tr>
        <w:trPr>
          <w:trHeight w:val="263"/>
        </w:trPr>
        <w:tc>
          <w:tcPr>
            <w:tcW w:w="7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68"/>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26,856</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82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$0.7 million and $6.1 million payable to the Adviser as of September 30, 2026 and December 31, 2025, respectively.</w:t>
      </w:r>
    </w:p>
    <w:p>
      <w:pPr>
        <w:spacing w:after="0" w:line="88"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b w:val="1"/>
          <w:bCs w:val="1"/>
          <w:color w:val="auto"/>
        </w:rPr>
        <w:t>11.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rental revenue primarily consists of rent earned from operating leases at the Company’s multifamily, single-family rental, retail, office and net lease industrial properties. Leases at the Company’s retail, office and industrial properties include a fixed base rent, and a variable rent component that consists of the reimbursement of operating expenses such as real estate taxes, insurance, and common area maintenance costs. Rental revenue earned from leases at the Company’s multifamily and single-family properties primarily consist of a fixed base rent, and certain leases contain a variable component that allows for the pass-through of certain operating expenses such as utilities.</w:t>
      </w:r>
    </w:p>
    <w:p>
      <w:pPr>
        <w:spacing w:after="0" w:line="87"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The leases at the Company’s net lease retail, office and industrial properties are longer-term and contain extension and termination options at the lessee’s election. The leases do not have material variable payments, material residual value guarantees or material restrictive covenants. Leases at the Company’s multifamily and single-family rental properties are short-term in nature, generally not greater than 12 months in length.</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operating lease income ($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18"/>
                <w:szCs w:val="18"/>
                <w:color w:val="auto"/>
              </w:rPr>
            </w:pPr>
          </w:p>
        </w:tc>
        <w:tc>
          <w:tcPr>
            <w:tcW w:w="28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1"/>
        </w:trPr>
        <w:tc>
          <w:tcPr>
            <w:tcW w:w="4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r>
      <w:tr>
        <w:trPr>
          <w:trHeight w:val="239"/>
        </w:trPr>
        <w:tc>
          <w:tcPr>
            <w:tcW w:w="484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lease payments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31,676</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82,334</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38,655</w:t>
            </w:r>
          </w:p>
        </w:tc>
      </w:tr>
      <w:tr>
        <w:trPr>
          <w:trHeight w:val="264"/>
        </w:trPr>
        <w:tc>
          <w:tcPr>
            <w:tcW w:w="4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r>
      <w:tr>
        <w:trPr>
          <w:trHeight w:val="268"/>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Rental revenue</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35,863</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94,874</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44,061</w:t>
            </w: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expected future minimum rents under operating leases from its retail, office and industrial properties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0"/>
        </w:trPr>
        <w:tc>
          <w:tcPr>
            <w:tcW w:w="9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16,580</w:t>
            </w:r>
          </w:p>
        </w:tc>
      </w:tr>
      <w:tr>
        <w:trPr>
          <w:trHeight w:val="26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65,164</w:t>
            </w:r>
          </w:p>
        </w:tc>
      </w:tr>
      <w:tr>
        <w:trPr>
          <w:trHeight w:val="277"/>
        </w:trPr>
        <w:tc>
          <w:tcPr>
            <w:tcW w:w="9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62,335</w:t>
            </w:r>
          </w:p>
        </w:tc>
      </w:tr>
      <w:tr>
        <w:trPr>
          <w:trHeight w:val="26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56,301</w:t>
            </w:r>
          </w:p>
        </w:tc>
      </w:tr>
      <w:tr>
        <w:trPr>
          <w:trHeight w:val="277"/>
        </w:trPr>
        <w:tc>
          <w:tcPr>
            <w:tcW w:w="9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50,816</w:t>
            </w:r>
          </w:p>
        </w:tc>
      </w:tr>
      <w:tr>
        <w:trPr>
          <w:trHeight w:val="264"/>
        </w:trPr>
        <w:tc>
          <w:tcPr>
            <w:tcW w:w="97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217,422</w:t>
            </w:r>
          </w:p>
        </w:tc>
      </w:tr>
      <w:tr>
        <w:trPr>
          <w:trHeight w:val="288"/>
        </w:trPr>
        <w:tc>
          <w:tcPr>
            <w:tcW w:w="9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468,618</w:t>
            </w:r>
          </w:p>
        </w:tc>
      </w:tr>
      <w:tr>
        <w:trPr>
          <w:trHeight w:val="20"/>
        </w:trPr>
        <w:tc>
          <w:tcPr>
            <w:tcW w:w="9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-1250950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160" w:firstLine="8"/>
        <w:spacing w:after="0" w:line="370" w:lineRule="auto"/>
        <w:tabs>
          <w:tab w:leader="none" w:pos="27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and Redeemable Non-Controlling Interest </w:t>
      </w:r>
      <w:r>
        <w:rPr>
          <w:rFonts w:ascii="Times New Roman" w:cs="Times New Roman" w:eastAsia="Times New Roman" w:hAnsi="Times New Roman"/>
          <w:sz w:val="18"/>
          <w:szCs w:val="18"/>
          <w:i w:val="1"/>
          <w:iCs w:val="1"/>
          <w:color w:val="auto"/>
        </w:rPr>
        <w:t>Authorized capital</w:t>
      </w: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is authorized to issue preferred stock and seven classes of common stock consisting of Class D shares, Class I shares, Class S shares, Class T shares, Class E shares, Class X shares and Class Y shares. The differences among the common share classes relate to management fees, upfront selling commissions, dealer manager fees and ongoing stockholder servicing fees. See Note 2 for additional detail on each share class.</w:t>
      </w:r>
    </w:p>
    <w:p>
      <w:pPr>
        <w:spacing w:after="0" w:line="8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September 30, 2026, in accordance with the Charter, the Company had authority to issue 5.5 billion shares, consisting of the following (shares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Par Value</w:t>
            </w:r>
          </w:p>
        </w:tc>
      </w:tr>
      <w:tr>
        <w:trPr>
          <w:trHeight w:val="237"/>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D Shares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I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S Shares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T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E Shares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X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Y Shares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62"/>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r>
      <w:tr>
        <w:trPr>
          <w:trHeight w:val="20"/>
        </w:trPr>
        <w:tc>
          <w:tcPr>
            <w:tcW w:w="8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-1439545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(in thousands). There were no outstanding Class S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X shares as of September 30, 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7"/>
        </w:trPr>
        <w:tc>
          <w:tcPr>
            <w:tcW w:w="2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99,144</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3"/>
                <w:szCs w:val="23"/>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3"/>
                <w:szCs w:val="23"/>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7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reinvestment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70"/>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5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64,411</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-33655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-33655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-33655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-33655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-196215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-196215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-196215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-196215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-882015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-882015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-882015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-882015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6"/>
        </w:trPr>
        <w:tc>
          <w:tcPr>
            <w:tcW w:w="2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79,327</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tcPr>
          <w:p>
            <w:pPr>
              <w:spacing w:after="0"/>
              <w:rPr>
                <w:sz w:val="23"/>
                <w:szCs w:val="23"/>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Pr>
          <w:p>
            <w:pPr>
              <w:spacing w:after="0"/>
              <w:rPr>
                <w:sz w:val="23"/>
                <w:szCs w:val="23"/>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21,631</w:t>
            </w:r>
          </w:p>
        </w:tc>
      </w:tr>
      <w:tr>
        <w:trPr>
          <w:trHeight w:val="27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reinvestment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70"/>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5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64,411</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-33655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-33655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-33655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-33655</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-196215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-196215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-196215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-196215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-882015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-882015</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-882015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-882015</wp:posOffset>
            </wp:positionV>
            <wp:extent cx="59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(in thousands). There were no outstanding Class S, Class T or Class X shares as of September 30,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49,772</w:t>
            </w:r>
          </w:p>
        </w:tc>
        <w:tc>
          <w:tcPr>
            <w:tcW w:w="1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69,164</w:t>
            </w:r>
          </w:p>
        </w:tc>
      </w:tr>
      <w:tr>
        <w:trPr>
          <w:trHeight w:val="270"/>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issued</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w:t>
            </w:r>
          </w:p>
        </w:tc>
      </w:tr>
      <w:tr>
        <w:trPr>
          <w:trHeight w:val="270"/>
        </w:trPr>
        <w:tc>
          <w:tcPr>
            <w:tcW w:w="2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tcPr>
          <w:p>
            <w:pPr>
              <w:spacing w:after="0"/>
              <w:rPr>
                <w:sz w:val="23"/>
                <w:szCs w:val="23"/>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57"/>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74,124</w:t>
            </w:r>
          </w:p>
        </w:tc>
      </w:tr>
      <w:tr>
        <w:trPr>
          <w:trHeight w:val="20"/>
        </w:trPr>
        <w:tc>
          <w:tcPr>
            <w:tcW w:w="2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7"/>
        </w:trPr>
        <w:tc>
          <w:tcPr>
            <w:tcW w:w="2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31,892</w:t>
            </w:r>
          </w:p>
        </w:tc>
      </w:tr>
      <w:tr>
        <w:trPr>
          <w:trHeight w:val="27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r>
              <w:rPr>
                <w:rFonts w:ascii="Times New Roman" w:cs="Times New Roman" w:eastAsia="Times New Roman" w:hAnsi="Times New Roman"/>
                <w:sz w:val="23"/>
                <w:szCs w:val="23"/>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3"/>
                <w:szCs w:val="23"/>
                <w:color w:val="auto"/>
              </w:rPr>
            </w:pP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100" w:type="dxa"/>
            <w:vAlign w:val="bottom"/>
          </w:tcPr>
          <w:p>
            <w:pPr>
              <w:spacing w:after="0"/>
              <w:rPr>
                <w:sz w:val="23"/>
                <w:szCs w:val="23"/>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w:t>
            </w:r>
          </w:p>
        </w:tc>
      </w:tr>
      <w:tr>
        <w:trPr>
          <w:trHeight w:val="2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7"/>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20"/>
                <w:szCs w:val="20"/>
                <w:color w:val="auto"/>
              </w:rPr>
            </w:pP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0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74,124</w:t>
            </w:r>
          </w:p>
        </w:tc>
      </w:tr>
      <w:tr>
        <w:trPr>
          <w:trHeight w:val="20"/>
        </w:trPr>
        <w:tc>
          <w:tcPr>
            <w:tcW w:w="2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-710565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-710565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-710565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-710565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Common stock issued includes conversions between share classes.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outstanding preferred stock as of September 30, 2026 and December 31, 2025,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The Company repurchased shares of its common stock for $6.2 million and $14.2 million during the three and nine months ended September 30, 2026, respectively. The Company had no unfulfilled repurchase requests during the three and nine months ended September 30, 2026. See Note 13 for further details on repurchases of Mandatorily Redeemable Instruments.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reinvestment plan</w:t>
      </w:r>
    </w:p>
    <w:p>
      <w:pPr>
        <w:spacing w:after="0" w:line="10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 has adopted a distribution reinvestment plan whereby holders of shares of common stock will have the cash distributions attributable to the shares they own reinvested in additional shares; provided, however, that clients of certain participating broker-dealers that do not permit automatic enrollment in the distribution reinvestment plan and stockholders that are residents of certain states that do not permit automatic enrollment in the distribution reinvestment plan will automatically receive their distributions in cash unless they elect to participate in the distribution reinvestment plan.</w:t>
      </w:r>
    </w:p>
    <w:p>
      <w:pPr>
        <w:spacing w:after="0" w:line="8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purchase price for shares of the Company's common stock purchased pursuant to the distribution reinvestment plan will be equal to the transaction price for the applicable class of shares at the time the distribution is payable (which will generally be equal to the Company’s prior month’s NAV per share). Stockholders will not pay upfront selling commissions or dealer manager fees when purchasing shares of common stock pursuant to the distribution reinvestment plan. The stockholder servicing fees with respect to Class D shares, Class S shares, Class T shares and Class Y shares are calculated based on the Company’s NAV for those shares and may reduce the NAV and the distributions payable with respect to shares of each such class, including shares issued in respect of distributions on such shares under the distribution reinvestment plan. Shares acquired under the distribution reinvestment plan will entitle the participant to the same rights and be treated in the same manner as shares purchased in the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0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generally intends to distribute substantially all of its taxable income, which does not necessarily equal net income as calculated in accordance with GAAP, to its stockholders each year to comply with the REIT provisions of the Internal Revenue Code of 1986, as amended (the “Code”). Shares of each class of common stock receive the same gross distribution per share. The net distribution varies for shares of each class based on the applicable stockholder servicing fee, which is deducted from the monthly distribution per share and paid directly to the applicable distributor.</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The following tables detail the distributions declared for shares of each applicable class of common stock:</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6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2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20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0" w:type="dxa"/>
            <w:vAlign w:val="bottom"/>
          </w:tcPr>
          <w:p>
            <w:pPr>
              <w:spacing w:after="0"/>
              <w:rPr>
                <w:sz w:val="1"/>
                <w:szCs w:val="1"/>
                <w:color w:val="auto"/>
              </w:rPr>
            </w:pPr>
          </w:p>
        </w:tc>
      </w:tr>
      <w:tr>
        <w:trPr>
          <w:trHeight w:val="205"/>
        </w:trPr>
        <w:tc>
          <w:tcPr>
            <w:tcW w:w="27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Aggregate gross distributions</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declared per share of common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0.1299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0.1299</w:t>
            </w:r>
          </w:p>
        </w:tc>
        <w:tc>
          <w:tcPr>
            <w:tcW w:w="0" w:type="dxa"/>
            <w:vAlign w:val="bottom"/>
          </w:tcPr>
          <w:p>
            <w:pPr>
              <w:spacing w:after="0"/>
              <w:rPr>
                <w:sz w:val="1"/>
                <w:szCs w:val="1"/>
                <w:color w:val="auto"/>
              </w:rPr>
            </w:pPr>
          </w:p>
        </w:tc>
      </w:tr>
      <w:tr>
        <w:trPr>
          <w:trHeight w:val="225"/>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 per share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tcPr>
          <w:p>
            <w:pPr>
              <w:ind w:left="20"/>
              <w:spacing w:after="0" w:line="247" w:lineRule="exact"/>
              <w:rPr>
                <w:sz w:val="20"/>
                <w:szCs w:val="20"/>
                <w:color w:val="auto"/>
              </w:rPr>
            </w:pPr>
            <w:r>
              <w:rPr>
                <w:rFonts w:ascii="Times New Roman" w:cs="Times New Roman" w:eastAsia="Times New Roman" w:hAnsi="Times New Roman"/>
                <w:sz w:val="18"/>
                <w:szCs w:val="18"/>
                <w:color w:val="auto"/>
              </w:rPr>
              <w:t>of common stock</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(0.0246)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(0.0243)</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distributions declared per share</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8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0.1053</w:t>
            </w:r>
          </w:p>
        </w:tc>
        <w:tc>
          <w:tcPr>
            <w:tcW w:w="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0.1056</w:t>
            </w:r>
          </w:p>
        </w:tc>
        <w:tc>
          <w:tcPr>
            <w:tcW w:w="0" w:type="dxa"/>
            <w:vAlign w:val="bottom"/>
          </w:tcPr>
          <w:p>
            <w:pPr>
              <w:spacing w:after="0"/>
              <w:rPr>
                <w:sz w:val="1"/>
                <w:szCs w:val="1"/>
                <w:color w:val="auto"/>
              </w:rPr>
            </w:pPr>
          </w:p>
        </w:tc>
      </w:tr>
      <w:tr>
        <w:trPr>
          <w:trHeight w:val="24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common stock</w:t>
            </w: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2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20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0" w:type="dxa"/>
            <w:vAlign w:val="bottom"/>
          </w:tcPr>
          <w:p>
            <w:pPr>
              <w:spacing w:after="0"/>
              <w:rPr>
                <w:sz w:val="1"/>
                <w:szCs w:val="1"/>
                <w:color w:val="auto"/>
              </w:rPr>
            </w:pPr>
          </w:p>
        </w:tc>
      </w:tr>
      <w:tr>
        <w:trPr>
          <w:trHeight w:val="205"/>
        </w:trPr>
        <w:tc>
          <w:tcPr>
            <w:tcW w:w="2740" w:type="dxa"/>
            <w:vAlign w:val="bottom"/>
            <w:tcBorders>
              <w:top w:val="single" w:sz="8" w:color="CFF0FC"/>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Aggregate gross distributions</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declared per share of common stock</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0.1722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6"/>
              </w:rPr>
              <w:t>0.3832</w:t>
            </w:r>
          </w:p>
        </w:tc>
        <w:tc>
          <w:tcPr>
            <w:tcW w:w="0" w:type="dxa"/>
            <w:vAlign w:val="bottom"/>
          </w:tcPr>
          <w:p>
            <w:pPr>
              <w:spacing w:after="0"/>
              <w:rPr>
                <w:sz w:val="1"/>
                <w:szCs w:val="1"/>
                <w:color w:val="auto"/>
              </w:rPr>
            </w:pPr>
          </w:p>
        </w:tc>
      </w:tr>
      <w:tr>
        <w:trPr>
          <w:trHeight w:val="221"/>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 servicing fee per share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740" w:type="dxa"/>
            <w:vAlign w:val="bottom"/>
            <w:tcBorders>
              <w:bottom w:val="single" w:sz="8" w:color="CFF0FC"/>
            </w:tcBorders>
          </w:tcPr>
          <w:p>
            <w:pPr>
              <w:ind w:left="20"/>
              <w:spacing w:after="0" w:line="251" w:lineRule="exact"/>
              <w:rPr>
                <w:sz w:val="20"/>
                <w:szCs w:val="20"/>
                <w:color w:val="auto"/>
              </w:rPr>
            </w:pPr>
            <w:r>
              <w:rPr>
                <w:rFonts w:ascii="Times New Roman" w:cs="Times New Roman" w:eastAsia="Times New Roman" w:hAnsi="Times New Roman"/>
                <w:sz w:val="18"/>
                <w:szCs w:val="18"/>
                <w:color w:val="auto"/>
              </w:rPr>
              <w:t>of common stock</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(0.0326)</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(0.0718)</w:t>
            </w:r>
          </w:p>
        </w:tc>
        <w:tc>
          <w:tcPr>
            <w:tcW w:w="0" w:type="dxa"/>
            <w:vAlign w:val="bottom"/>
          </w:tcPr>
          <w:p>
            <w:pPr>
              <w:spacing w:after="0"/>
              <w:rPr>
                <w:sz w:val="1"/>
                <w:szCs w:val="1"/>
                <w:color w:val="auto"/>
              </w:rPr>
            </w:pPr>
          </w:p>
        </w:tc>
      </w:tr>
      <w:tr>
        <w:trPr>
          <w:trHeight w:val="205"/>
        </w:trPr>
        <w:tc>
          <w:tcPr>
            <w:tcW w:w="27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Net distributions declared per share</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8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0.1396</w:t>
            </w:r>
          </w:p>
        </w:tc>
        <w:tc>
          <w:tcPr>
            <w:tcW w:w="8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6"/>
              </w:rPr>
              <w:t>0.3114</w:t>
            </w:r>
          </w:p>
        </w:tc>
        <w:tc>
          <w:tcPr>
            <w:tcW w:w="0" w:type="dxa"/>
            <w:vAlign w:val="bottom"/>
          </w:tcPr>
          <w:p>
            <w:pPr>
              <w:spacing w:after="0"/>
              <w:rPr>
                <w:sz w:val="1"/>
                <w:szCs w:val="1"/>
                <w:color w:val="auto"/>
              </w:rPr>
            </w:pPr>
          </w:p>
        </w:tc>
      </w:tr>
      <w:tr>
        <w:trPr>
          <w:trHeight w:val="241"/>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common stock</w:t>
            </w:r>
          </w:p>
        </w:tc>
        <w:tc>
          <w:tcPr>
            <w:tcW w:w="20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9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-916305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ind w:left="180" w:right="100" w:hanging="172"/>
        <w:spacing w:after="0" w:line="330" w:lineRule="auto"/>
        <w:tabs>
          <w:tab w:leader="none" w:pos="168"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Stockholder servicing fees only apply to Class D, Class S, Class T and Class Y shares. For purposes of NAV, the Company recognizes the stockholder servicing fee as a reduction of NAV on a monthly basis as such fee is paid. Under GAAP, the Company accrues the full cost of the stockholder servicing fee as an offering cost at the time the Company sells Class D, Class S, Class T and Class Y shares. The stockholder servicing fee on Class D shares was waived as of September 30, 2026, and the NAV attributable to current holders of Class D shares will not be included in the computation of stockholder servicing fees charged on Class D shares in perpetuity. The Company accrued stockholder servicing fees of $8.6 million and $6.3 million as of September 30, 2026 and December 31, 2025, respectively.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w:t>
      </w:r>
    </w:p>
    <w:p>
      <w:pPr>
        <w:spacing w:after="0" w:line="10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Special Limited Partner holds a performance participation interest in the Operating Partnership that entitles it to receive an allocation from the Operating Partnership in Class E units. See Note 9 for further details of the Special Limited Partner’s performance participation interest. Because the Special Limited Partner has the ability to redeem its Class E units for cash, at its election, the Company has classified these Class E units as redeemable non-controlling interest in mezzanine equity on the Company’s Condensed Consolidated Balance Sheets. The redeemable non-controlling interest is recorded at the greater of the carrying amount, adjusted for its share of the allocation of income or loss and distributions, or the redemption value, which is equivalent to fair value, of such units at the end of each measurement period which was $1.0 million and $0.9 million as of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Mandatorily Redeemable Instruments</w:t>
      </w:r>
    </w:p>
    <w:p>
      <w:pPr>
        <w:spacing w:after="0" w:line="10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 xml:space="preserve">The Class E units held by JPMIM and purchased pursuant to the Initial Capitalization are mandatorily redeemable, and only subject to delays to the continuous obligation to ultimately redeem the instruments once sufficient availability exists under share repurchase agreements. Therefore, the Mandatorily Redeemable Instruments held by JPMIM are classified as a liability pursuant to Topic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presented as Mandatorily Redeemable Instruments at the initial funding amount received, which is equivalent to fair value at the issuance dates. Subsequently, the Mandatorily Redeemable Instruments are carried at their cash redemption value as if the Class E units were repurchased or redeemable at the reporting date, which equals NAV per Class E unit. The change in carrying value (changes in NAV per Class E unit) is classified as Mandatorily Redeemable Instruments interest costs along with any cash distributions declared in the Condensed Consolidated Statements of Operations. During the nine months ended September 30, 2026, the Company recorded $0.6 million of Mandatorily Redeemable Instruments interest costs in the Condensed Consolidated Statements of Operations, which consisted of redemption value adjustments of $0.2 million and distribution expenses of $0.4 million, respectively. During the nine months ended September 30, 2025, the Company recorded $4.8 million of Mandatorily Redeemable Instruments interest costs in the Condensed Consolidated Statements of Operations, which consisted of a redemption value adjustment of $1.7 million and distribution expenses of $3.1 million, respectively.</w:t>
      </w:r>
    </w:p>
    <w:p>
      <w:pPr>
        <w:spacing w:after="0" w:line="77"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As an investor in Class E units, JPMIM's interest does not have any voting rights but is entitled to receive distributions at the same rate applicable to other classes of units.</w:t>
      </w:r>
    </w:p>
    <w:p>
      <w:pPr>
        <w:spacing w:after="0" w:line="40"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Operating Partnership units also carry a protective exchange feature whereby in a liquidation, dilution or winding up, each unit will convert into a number of Class I units (or fraction thereof) having an equivalent NAV. Such feature is designed to carry over NAV into a new form of security immediately prior to liquidation and is not deemed a substantive conversion feature as it is only applicable upon liquidation or upon a listing event which is not the intent of this public, non-listed REIT structure.</w:t>
      </w:r>
    </w:p>
    <w:p>
      <w:pPr>
        <w:spacing w:after="0" w:line="6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As of December 31, 2025, the Company had sold 9.0 million Class E units and 0.5 million Class E shares to the Adviser for an aggregate purchase price of $94.2 million and $5.8 million, respectively. During the nine months ended September 30, 2026, the Company did not sell any Class E units or Class E shares to the Adviser that are subject to mandatory repurchase requirements (see Note 2). During the nine months ended September 30, 2026, the Company repurchased 4.8 million Class E units amounting to $55.0 million. The Company completed the full repurchase of JPMIM Class E shares and Class E units in May 2026. As of September 30, 2026, there are no outstanding Class E shares or Class E units held by the Adviser that are subject to mandatory repurchase requirements.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Mandatorily Redeemable Instruments activity for the nine months ended September 30, 2026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0"/>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54,794</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(54,985)</w:t>
            </w:r>
          </w:p>
        </w:tc>
      </w:tr>
      <w:tr>
        <w:trPr>
          <w:trHeight w:val="277"/>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 declared</w:t>
            </w: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distributions payable/paid</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70"/>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11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JPMIM agreed to hold all the Class E shares and Class E units it purchased pursuant to the JPM Initial Capitalization until July 22, 2025. Following such date, each month the Company repurchased, without further action by JPMIM, a number of Class E shares or Class E units from JPMIM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until May 31, 2026, the date the JPM Initial Capitalization was fully repurchased.</w:t>
      </w:r>
    </w:p>
    <w:p>
      <w:pPr>
        <w:spacing w:after="0" w:line="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In addition, subject to certain exceptions, where the shares of the Company’s common stock and Operating Partnership units owned by the Adviser, together with any such shares and units owned by the Adviser and its affiliates, including any shares or units issued in lieu of cash management fees payable to the Adviser or the performance participation payable to the Special Limited Partner (such aggregate ownership, the “JPM Interest”), represent a 24.99% or lesser interest in the Company, the Company will, or will cause the Operating Partnership to, automatically and without further action by the Adviser, repurchase or redeem, as applicable, an amount of shares or units from the Adviser as may be necessary to cause the JPM Interest to remain equal to or less than 24.99% (each such repurchase or redemption, a “JPM Regulatory Repurchase”). To the extent the Adviser elects to receive its management fee in shares of the Company’s common stock or Operating Partnership units, the Company may repurchase those shares or units without regard to the limitations described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above or the early repurchase deduction, however such repurchase will be subject to the oversight of the Company's board of directors pursuant to the Company's Policy with Respect to Shares Held by the Adviser.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0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Company generally intends to distribute substantially all of its taxable income, which does not necessarily equal net income as calculated in accordance with GAAP, to its stockholders each year to comply with the REIT provisions of the Code. The Mandatorily Redeemable Instruments receive the same gross distribution per share as the Class E common stock. For the nine months ended September 30, 2026 and 2025, distributions declared on the Mandatorily Redeemable Instruments totaled $0.4 million and $3.1 million, respectively. When a distribution is declared, the Company records a distribution expense as a component of Mandatorily Redeemable Instruments interest cost in the Condensed Consolidated Statements of Operations. A distribution payable is also recorded within accounts payable, accrued expenses and other liabilities on the Company's Condensed Consolidated Balance Sheets until the distribution is paid. There was no distribution payable for Mandatorily Redeemable Instruments as of September 30, 2026. The distribution payable for Mandatorily Redeemable Instruments was $0.2 million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net income (loss) and weighted-average number of shares outstanding for the three and nine months ended September 30, 2026 and 2025 consist of the following ($ and shares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7"/>
                <w:szCs w:val="17"/>
                <w:color w:val="auto"/>
              </w:rPr>
            </w:pPr>
          </w:p>
        </w:tc>
        <w:tc>
          <w:tcPr>
            <w:tcW w:w="27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1"/>
        </w:trPr>
        <w:tc>
          <w:tcPr>
            <w:tcW w:w="5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r>
      <w:tr>
        <w:trPr>
          <w:trHeight w:val="239"/>
        </w:trPr>
        <w:tc>
          <w:tcPr>
            <w:tcW w:w="50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JPMREIT stockholders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(4,707)</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72,503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93,771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62,968</w:t>
            </w:r>
          </w:p>
        </w:tc>
      </w:tr>
      <w:tr>
        <w:trPr>
          <w:trHeight w:val="27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100,976</w:t>
            </w:r>
          </w:p>
        </w:tc>
        <w:tc>
          <w:tcPr>
            <w:tcW w:w="10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72,503</w:t>
            </w:r>
          </w:p>
        </w:tc>
        <w:tc>
          <w:tcPr>
            <w:tcW w:w="8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93,771</w:t>
            </w:r>
          </w:p>
        </w:tc>
        <w:tc>
          <w:tcPr>
            <w:tcW w:w="1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62,968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-513715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-513715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calculation of basic and diluted net income (loss) per share amounts for the three and nine months ended September 30, 2026 and 2025 consists of the following ($ and shares in thousands except per-share numbers):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7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36"/>
        </w:trPr>
        <w:tc>
          <w:tcPr>
            <w:tcW w:w="5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74"/>
        </w:trPr>
        <w:tc>
          <w:tcPr>
            <w:tcW w:w="5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Basic Net Income (Loss) per Share Attributable to JPMREIT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JPMREIT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72,503</w:t>
            </w: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62,968</w:t>
            </w: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common stock</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94"/>
        </w:trPr>
        <w:tc>
          <w:tcPr>
            <w:tcW w:w="50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(Loss) per Share Attributable to JPMREIT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JPMREIT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100,976</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72,503</w:t>
            </w:r>
          </w:p>
        </w:tc>
        <w:tc>
          <w:tcPr>
            <w:tcW w:w="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93,771</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62,968</w:t>
            </w: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common stock</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-2468245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-2468245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2025 and nine months ended September 30, 2026 and 2025, unvested Class E shares awarded to the Company's independent directors as compensation for their service are excluded from the calculation of diluted earnings per share as the inclusion of such potential common shares in the calculations would be anti-dilutive for the period. There were no other potentially dilutive, unvested common shares for the three and nine months ended September 30, 2026 and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The Chief Executive Officer, as the chief operating decision maker (the “CODM”), allocates resources and evaluates results based on the performance of each of the Company's six reportable segments: multifamily, industrial, single-family rental, retail, office and investments in real estate debt, real estate-related and other securities. The Company and the CODM believe that segment net operating income is the key performance metric that captures the unique operating characteristics of each segment. The significant expense categories and amounts presented below align with the segment-level information that is regularly provided to the CODM.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total assets by segment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7"/>
        </w:trPr>
        <w:tc>
          <w:tcPr>
            <w:tcW w:w="7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671,410</w:t>
            </w:r>
          </w:p>
        </w:tc>
        <w:tc>
          <w:tcPr>
            <w:tcW w:w="8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649,339</w:t>
            </w:r>
          </w:p>
        </w:tc>
      </w:tr>
      <w:tr>
        <w:trPr>
          <w:trHeight w:val="27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667,365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438,750</w:t>
            </w:r>
          </w:p>
        </w:tc>
      </w:tr>
      <w:tr>
        <w:trPr>
          <w:trHeight w:val="270"/>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180" w:type="dxa"/>
            <w:vAlign w:val="bottom"/>
            <w:shd w:val="clear" w:color="auto" w:fill="CFF0FC"/>
          </w:tcPr>
          <w:p>
            <w:pPr>
              <w:spacing w:after="0"/>
              <w:rPr>
                <w:sz w:val="23"/>
                <w:szCs w:val="2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42,566</w:t>
            </w: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w:t>
            </w:r>
          </w:p>
        </w:tc>
      </w:tr>
      <w:tr>
        <w:trPr>
          <w:trHeight w:val="27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r>
      <w:tr>
        <w:trPr>
          <w:trHeight w:val="270"/>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shd w:val="clear" w:color="auto" w:fill="CFF0FC"/>
          </w:tcPr>
          <w:p>
            <w:pPr>
              <w:spacing w:after="0"/>
              <w:rPr>
                <w:sz w:val="23"/>
                <w:szCs w:val="23"/>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63,403</w:t>
            </w: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real estate debt, real estate-related and other securities</w:t>
            </w:r>
          </w:p>
        </w:tc>
        <w:tc>
          <w:tcPr>
            <w:tcW w:w="18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374,922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241,220</w:t>
            </w:r>
          </w:p>
        </w:tc>
      </w:tr>
      <w:tr>
        <w:trPr>
          <w:trHeight w:val="270"/>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(corporate)</w:t>
            </w:r>
          </w:p>
        </w:tc>
        <w:tc>
          <w:tcPr>
            <w:tcW w:w="180" w:type="dxa"/>
            <w:vAlign w:val="bottom"/>
            <w:tcBorders>
              <w:bottom w:val="single" w:sz="8" w:color="auto"/>
            </w:tcBorders>
            <w:shd w:val="clear" w:color="auto" w:fill="CFF0FC"/>
          </w:tcPr>
          <w:p>
            <w:pPr>
              <w:spacing w:after="0"/>
              <w:rPr>
                <w:sz w:val="23"/>
                <w:szCs w:val="23"/>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8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2,000,245</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1,503,518</w:t>
            </w:r>
          </w:p>
        </w:tc>
      </w:tr>
      <w:tr>
        <w:trPr>
          <w:trHeight w:val="21"/>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financial results by segment for the three months ended September 30, 2026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 real estate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Single-</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debt, real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estate-related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family</w:t>
            </w:r>
          </w:p>
        </w:tc>
        <w:tc>
          <w:tcPr>
            <w:tcW w:w="160" w:type="dxa"/>
            <w:vAlign w:val="bottom"/>
          </w:tcPr>
          <w:p>
            <w:pPr>
              <w:spacing w:after="0"/>
              <w:rPr>
                <w:sz w:val="16"/>
                <w:szCs w:val="16"/>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6"/>
                <w:szCs w:val="16"/>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040" w:type="dxa"/>
            <w:vAlign w:val="bottom"/>
            <w:gridSpan w:val="3"/>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rental</w:t>
            </w: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Rental revenue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24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8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investments in real estate-related and other</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2"/>
        </w:trPr>
        <w:tc>
          <w:tcPr>
            <w:tcW w:w="40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net operating income</w:t>
            </w: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27,510</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7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0" w:type="dxa"/>
            <w:vAlign w:val="bottom"/>
          </w:tcPr>
          <w:p>
            <w:pPr>
              <w:spacing w:after="0"/>
              <w:rPr>
                <w:sz w:val="1"/>
                <w:szCs w:val="1"/>
                <w:color w:val="auto"/>
              </w:rPr>
            </w:pPr>
          </w:p>
        </w:tc>
      </w:tr>
      <w:tr>
        <w:trPr>
          <w:trHeight w:val="27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non-controlling interests in</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joint ventures</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JPMREIT stockholders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-2014220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-2014220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-2014220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-2014220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-2682240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-2682240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-2682240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-2682240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-3007995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-3007995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-3007995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-3007995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financial results by segment for the three months ended September 30, 2025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 real estate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Single-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debt, real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estate-related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family</w:t>
            </w:r>
          </w:p>
        </w:tc>
        <w:tc>
          <w:tcPr>
            <w:tcW w:w="16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6"/>
                <w:szCs w:val="16"/>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rental</w:t>
            </w: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Rental revenue</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26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2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estate-related and other securities</w:t>
            </w:r>
          </w:p>
        </w:tc>
        <w:tc>
          <w:tcPr>
            <w:tcW w:w="2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62"/>
        </w:trPr>
        <w:tc>
          <w:tcPr>
            <w:tcW w:w="5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net operating income</w:t>
            </w: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0" w:type="dxa"/>
            <w:vAlign w:val="bottom"/>
          </w:tcPr>
          <w:p>
            <w:pPr>
              <w:spacing w:after="0"/>
              <w:rPr>
                <w:sz w:val="1"/>
                <w:szCs w:val="1"/>
                <w:color w:val="auto"/>
              </w:rPr>
            </w:pPr>
          </w:p>
        </w:tc>
      </w:tr>
      <w:tr>
        <w:trPr>
          <w:trHeight w:val="27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Mandatorily redeemable instruments interest costs</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7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260" w:type="dxa"/>
            <w:vAlign w:val="bottom"/>
            <w:tcBorders>
              <w:bottom w:val="single" w:sz="8" w:color="CFF0FC"/>
            </w:tcBorders>
          </w:tcPr>
          <w:p>
            <w:pPr>
              <w:spacing w:after="0"/>
              <w:rPr>
                <w:sz w:val="23"/>
                <w:szCs w:val="23"/>
                <w:color w:val="auto"/>
              </w:rPr>
            </w:pPr>
          </w:p>
        </w:tc>
        <w:tc>
          <w:tcPr>
            <w:tcW w:w="7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6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9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in consolidated joint</w:t>
            </w:r>
          </w:p>
        </w:tc>
        <w:tc>
          <w:tcPr>
            <w:tcW w:w="2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26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6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JPMREIT stockholders</w:t>
            </w:r>
          </w:p>
        </w:tc>
        <w:tc>
          <w:tcPr>
            <w:tcW w:w="2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-2056765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-2056765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-2056765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-2056765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-2725420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-2725420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-2725420</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-2725420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-3051175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-3051175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-3051175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-3051175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financial results by segment for nine months ended September 30, 2026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 real estate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Single-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debt, real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estate-related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family</w:t>
            </w:r>
          </w:p>
        </w:tc>
        <w:tc>
          <w:tcPr>
            <w:tcW w:w="16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6"/>
                <w:szCs w:val="16"/>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rental</w:t>
            </w: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Rental revenue</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48,869</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94,874</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94,874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22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8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estate-related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2"/>
        </w:trPr>
        <w:tc>
          <w:tcPr>
            <w:tcW w:w="40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net operating income</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73,999</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vMerge w:val="continue"/>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(44,689)</w:t>
            </w:r>
          </w:p>
        </w:tc>
        <w:tc>
          <w:tcPr>
            <w:tcW w:w="0" w:type="dxa"/>
            <w:vAlign w:val="bottom"/>
          </w:tcPr>
          <w:p>
            <w:pPr>
              <w:spacing w:after="0"/>
              <w:rPr>
                <w:sz w:val="1"/>
                <w:szCs w:val="1"/>
                <w:color w:val="auto"/>
              </w:rPr>
            </w:pPr>
          </w:p>
        </w:tc>
      </w:tr>
      <w:tr>
        <w:trPr>
          <w:trHeight w:val="270"/>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Mandatorily redeemable instruments interest costs</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70"/>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8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9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62"/>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in</w:t>
            </w: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consolidated joint ventures</w:t>
            </w:r>
          </w:p>
        </w:tc>
        <w:tc>
          <w:tcPr>
            <w:tcW w:w="22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62"/>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JPMREIT stockholders</w:t>
            </w: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-2185035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-2185035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-2185035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-2185035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-2853690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-2853690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-2853690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-2853690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-3179445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-3179445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-3179445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-3179445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financial results by segment for the nine months ended September 30, 2025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 real estate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Single-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debt, real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estate-related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40" w:type="dxa"/>
            <w:vAlign w:val="bottom"/>
          </w:tcPr>
          <w:p>
            <w:pPr>
              <w:spacing w:after="0"/>
              <w:rPr>
                <w:sz w:val="16"/>
                <w:szCs w:val="16"/>
                <w:color w:val="auto"/>
              </w:rPr>
            </w:pPr>
          </w:p>
        </w:tc>
        <w:tc>
          <w:tcPr>
            <w:tcW w:w="8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family</w:t>
            </w:r>
          </w:p>
        </w:tc>
        <w:tc>
          <w:tcPr>
            <w:tcW w:w="160" w:type="dxa"/>
            <w:vAlign w:val="bottom"/>
          </w:tcPr>
          <w:p>
            <w:pPr>
              <w:spacing w:after="0"/>
              <w:rPr>
                <w:sz w:val="16"/>
                <w:szCs w:val="16"/>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6"/>
                <w:szCs w:val="16"/>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rental</w:t>
            </w: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Rental revenue</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44,061</w:t>
            </w: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220" w:type="dxa"/>
            <w:vAlign w:val="bottom"/>
            <w:tcBorders>
              <w:bottom w:val="single" w:sz="8" w:color="auto"/>
            </w:tcBorders>
            <w:shd w:val="clear" w:color="auto" w:fill="CFF0FC"/>
          </w:tcPr>
          <w:p>
            <w:pPr>
              <w:spacing w:after="0"/>
              <w:rPr>
                <w:sz w:val="23"/>
                <w:szCs w:val="2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80" w:type="dxa"/>
            <w:vAlign w:val="bottom"/>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0" w:type="dxa"/>
            <w:vAlign w:val="bottom"/>
          </w:tcPr>
          <w:p>
            <w:pPr>
              <w:spacing w:after="0"/>
              <w:rPr>
                <w:sz w:val="1"/>
                <w:szCs w:val="1"/>
                <w:color w:val="auto"/>
              </w:rPr>
            </w:pP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investments in real estate-related and other securities</w:t>
            </w:r>
          </w:p>
        </w:tc>
        <w:tc>
          <w:tcPr>
            <w:tcW w:w="2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62"/>
        </w:trPr>
        <w:tc>
          <w:tcPr>
            <w:tcW w:w="5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net operating income</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37,571</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0" w:type="dxa"/>
            <w:vAlign w:val="bottom"/>
          </w:tcPr>
          <w:p>
            <w:pPr>
              <w:spacing w:after="0"/>
              <w:rPr>
                <w:sz w:val="1"/>
                <w:szCs w:val="1"/>
                <w:color w:val="auto"/>
              </w:rPr>
            </w:pPr>
          </w:p>
        </w:tc>
      </w:tr>
      <w:tr>
        <w:trPr>
          <w:trHeight w:val="27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Mandatorily redeemable instruments interest costs</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7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3"/>
                <w:szCs w:val="23"/>
                <w:color w:val="auto"/>
              </w:rPr>
            </w:pPr>
          </w:p>
        </w:tc>
        <w:tc>
          <w:tcPr>
            <w:tcW w:w="7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FF0FC"/>
            </w:tcBorders>
          </w:tcPr>
          <w:p>
            <w:pPr>
              <w:spacing w:after="0"/>
              <w:rPr>
                <w:sz w:val="23"/>
                <w:szCs w:val="23"/>
                <w:color w:val="auto"/>
              </w:rPr>
            </w:pPr>
          </w:p>
        </w:tc>
        <w:tc>
          <w:tcPr>
            <w:tcW w:w="7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6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9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in consolidated joint</w:t>
            </w: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JPMREIT stockholders</w:t>
            </w:r>
          </w:p>
        </w:tc>
        <w:tc>
          <w:tcPr>
            <w:tcW w:w="2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-2056765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-2056765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-2056765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-2056765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-2725420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-2725420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-2725420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-2725420</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-3051175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-3051175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-3051175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-3051175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Derivatives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derivative financial instruments to minimize the risks and costs associated with the Company's investments and financing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designated any of its derivative financial instruments as hedges as defined under GAAP.</w:t>
      </w:r>
    </w:p>
    <w:p>
      <w:pPr>
        <w:spacing w:after="0" w:line="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and other identified risks.</w:t>
      </w:r>
    </w:p>
    <w:p>
      <w:pPr>
        <w:spacing w:after="0" w:line="6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use of derivative financial instruments involves certain risks, including the risk that counterparties do not perform as agreed. To mitigate this risk, the Company enters into derivative financial instruments with counterparties it believes to have appropriate credit ratings and that are major financial institutions with which the Company and its affiliates may also have other financial relationships.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contracts</w:t>
      </w:r>
    </w:p>
    <w:p>
      <w:pPr>
        <w:spacing w:after="0" w:line="106"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Certain of the Company's transactions expose the Company to interest rate risk on loans secured by the Company's real estate. The Company uses derivative financial instruments which includes interest rate swaps to limit the Company's exposure to interest rate fluctuations.</w:t>
      </w:r>
    </w:p>
    <w:p>
      <w:pPr>
        <w:spacing w:after="0" w:line="68"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Company’s outstanding interest rate swaps that were non-designated hedges of interest rate risk (notional amount in thousands):</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19685</wp:posOffset>
            </wp:positionV>
            <wp:extent cx="60261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4"/>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w:t>
            </w:r>
          </w:p>
        </w:tc>
        <w:tc>
          <w:tcPr>
            <w:tcW w:w="8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Strike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gridSpan w:val="2"/>
            <w:vMerge w:val="restart"/>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4"/>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Commencement</w:t>
            </w:r>
          </w:p>
        </w:tc>
        <w:tc>
          <w:tcPr>
            <w:tcW w:w="13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29"/>
        </w:trPr>
        <w:tc>
          <w:tcPr>
            <w:tcW w:w="1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gridSpan w:val="2"/>
            <w:vMerge w:val="continue"/>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(Years)</w:t>
            </w:r>
          </w:p>
        </w:tc>
        <w:tc>
          <w:tcPr>
            <w:tcW w:w="1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0" w:type="dxa"/>
            <w:vAlign w:val="bottom"/>
          </w:tcPr>
          <w:p>
            <w:pPr>
              <w:spacing w:after="0"/>
              <w:rPr>
                <w:sz w:val="1"/>
                <w:szCs w:val="1"/>
                <w:color w:val="auto"/>
              </w:rPr>
            </w:pPr>
          </w:p>
        </w:tc>
      </w:tr>
      <w:tr>
        <w:trPr>
          <w:trHeight w:val="191"/>
        </w:trPr>
        <w:tc>
          <w:tcPr>
            <w:tcW w:w="1940" w:type="dxa"/>
            <w:vAlign w:val="bottom"/>
            <w:gridSpan w:val="3"/>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Interest rate swaps –</w:t>
            </w:r>
          </w:p>
        </w:tc>
        <w:tc>
          <w:tcPr>
            <w:tcW w:w="1160" w:type="dxa"/>
            <w:vAlign w:val="bottom"/>
            <w:vMerge w:val="restart"/>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120,100</w:t>
            </w:r>
          </w:p>
        </w:tc>
        <w:tc>
          <w:tcPr>
            <w:tcW w:w="8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3"/>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6"/>
                <w:szCs w:val="16"/>
                <w:color w:val="auto"/>
              </w:rPr>
            </w:pPr>
          </w:p>
        </w:tc>
        <w:tc>
          <w:tcPr>
            <w:tcW w:w="1440" w:type="dxa"/>
            <w:vAlign w:val="bottom"/>
            <w:gridSpan w:val="4"/>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August 17, 2025</w:t>
            </w:r>
          </w:p>
        </w:tc>
        <w:tc>
          <w:tcPr>
            <w:tcW w:w="136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19, 2028</w:t>
            </w:r>
          </w:p>
        </w:tc>
        <w:tc>
          <w:tcPr>
            <w:tcW w:w="0" w:type="dxa"/>
            <w:vAlign w:val="bottom"/>
          </w:tcPr>
          <w:p>
            <w:pPr>
              <w:spacing w:after="0"/>
              <w:rPr>
                <w:sz w:val="1"/>
                <w:szCs w:val="1"/>
                <w:color w:val="auto"/>
              </w:rPr>
            </w:pPr>
          </w:p>
        </w:tc>
      </w:tr>
      <w:tr>
        <w:trPr>
          <w:trHeight w:val="140"/>
        </w:trPr>
        <w:tc>
          <w:tcPr>
            <w:tcW w:w="1940" w:type="dxa"/>
            <w:vAlign w:val="bottom"/>
            <w:gridSpan w:val="3"/>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notes</w:t>
            </w:r>
          </w:p>
        </w:tc>
        <w:tc>
          <w:tcPr>
            <w:tcW w:w="11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vMerge w:val="continue"/>
            <w:shd w:val="clear" w:color="auto" w:fill="CFF0FC"/>
          </w:tcPr>
          <w:p>
            <w:pPr>
              <w:spacing w:after="0"/>
              <w:rPr>
                <w:sz w:val="12"/>
                <w:szCs w:val="12"/>
                <w:color w:val="auto"/>
              </w:rPr>
            </w:pPr>
          </w:p>
        </w:tc>
        <w:tc>
          <w:tcPr>
            <w:tcW w:w="13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4"/>
            <w:vMerge w:val="continue"/>
            <w:shd w:val="clear" w:color="auto" w:fill="CFF0FC"/>
          </w:tcPr>
          <w:p>
            <w:pPr>
              <w:spacing w:after="0"/>
              <w:rPr>
                <w:sz w:val="12"/>
                <w:szCs w:val="12"/>
                <w:color w:val="auto"/>
              </w:rPr>
            </w:pPr>
          </w:p>
        </w:tc>
        <w:tc>
          <w:tcPr>
            <w:tcW w:w="13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540"/>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4"/>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4"/>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w:t>
            </w:r>
          </w:p>
        </w:tc>
        <w:tc>
          <w:tcPr>
            <w:tcW w:w="8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Strike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gridSpan w:val="2"/>
            <w:vMerge w:val="restart"/>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4"/>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Commencement</w:t>
            </w:r>
          </w:p>
        </w:tc>
        <w:tc>
          <w:tcPr>
            <w:tcW w:w="13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1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gridSpan w:val="2"/>
            <w:vMerge w:val="continue"/>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(Years)</w:t>
            </w:r>
          </w:p>
        </w:tc>
        <w:tc>
          <w:tcPr>
            <w:tcW w:w="1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0" w:type="dxa"/>
            <w:vAlign w:val="bottom"/>
          </w:tcPr>
          <w:p>
            <w:pPr>
              <w:spacing w:after="0"/>
              <w:rPr>
                <w:sz w:val="1"/>
                <w:szCs w:val="1"/>
                <w:color w:val="auto"/>
              </w:rPr>
            </w:pPr>
          </w:p>
        </w:tc>
      </w:tr>
      <w:tr>
        <w:trPr>
          <w:trHeight w:val="191"/>
        </w:trPr>
        <w:tc>
          <w:tcPr>
            <w:tcW w:w="1940" w:type="dxa"/>
            <w:vAlign w:val="bottom"/>
            <w:gridSpan w:val="3"/>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Interest rate swaps –</w:t>
            </w:r>
          </w:p>
        </w:tc>
        <w:tc>
          <w:tcPr>
            <w:tcW w:w="1160" w:type="dxa"/>
            <w:vAlign w:val="bottom"/>
            <w:vMerge w:val="restart"/>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120,100</w:t>
            </w:r>
          </w:p>
        </w:tc>
        <w:tc>
          <w:tcPr>
            <w:tcW w:w="8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3"/>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6"/>
                <w:szCs w:val="16"/>
                <w:color w:val="auto"/>
              </w:rPr>
            </w:pPr>
          </w:p>
        </w:tc>
        <w:tc>
          <w:tcPr>
            <w:tcW w:w="1440" w:type="dxa"/>
            <w:vAlign w:val="bottom"/>
            <w:gridSpan w:val="4"/>
            <w:vMerge w:val="restart"/>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August 17, 2025</w:t>
            </w:r>
          </w:p>
        </w:tc>
        <w:tc>
          <w:tcPr>
            <w:tcW w:w="136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19, 2028</w:t>
            </w:r>
          </w:p>
        </w:tc>
        <w:tc>
          <w:tcPr>
            <w:tcW w:w="0" w:type="dxa"/>
            <w:vAlign w:val="bottom"/>
          </w:tcPr>
          <w:p>
            <w:pPr>
              <w:spacing w:after="0"/>
              <w:rPr>
                <w:sz w:val="1"/>
                <w:szCs w:val="1"/>
                <w:color w:val="auto"/>
              </w:rPr>
            </w:pPr>
          </w:p>
        </w:tc>
      </w:tr>
      <w:tr>
        <w:trPr>
          <w:trHeight w:val="140"/>
        </w:trPr>
        <w:tc>
          <w:tcPr>
            <w:tcW w:w="1940" w:type="dxa"/>
            <w:vAlign w:val="bottom"/>
            <w:gridSpan w:val="3"/>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notes</w:t>
            </w:r>
          </w:p>
        </w:tc>
        <w:tc>
          <w:tcPr>
            <w:tcW w:w="11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3"/>
            <w:vMerge w:val="continue"/>
            <w:shd w:val="clear" w:color="auto" w:fill="CFF0FC"/>
          </w:tcPr>
          <w:p>
            <w:pPr>
              <w:spacing w:after="0"/>
              <w:rPr>
                <w:sz w:val="12"/>
                <w:szCs w:val="12"/>
                <w:color w:val="auto"/>
              </w:rPr>
            </w:pPr>
          </w:p>
        </w:tc>
        <w:tc>
          <w:tcPr>
            <w:tcW w:w="13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4"/>
            <w:vMerge w:val="continue"/>
            <w:shd w:val="clear" w:color="auto" w:fill="CFF0FC"/>
          </w:tcPr>
          <w:p>
            <w:pPr>
              <w:spacing w:after="0"/>
              <w:rPr>
                <w:sz w:val="12"/>
                <w:szCs w:val="12"/>
                <w:color w:val="auto"/>
              </w:rPr>
            </w:pPr>
          </w:p>
        </w:tc>
        <w:tc>
          <w:tcPr>
            <w:tcW w:w="13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 details the fair value of the Company's derivative financial instruments ($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 of Derivatives</w:t>
            </w:r>
            <w:r>
              <w:rPr>
                <w:rFonts w:ascii="Times New Roman" w:cs="Times New Roman" w:eastAsia="Times New Roman" w:hAnsi="Times New Roman"/>
                <w:sz w:val="23"/>
                <w:szCs w:val="23"/>
                <w:b w:val="1"/>
                <w:bCs w:val="1"/>
                <w:color w:val="auto"/>
                <w:w w:val="96"/>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1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6"/>
        </w:trPr>
        <w:tc>
          <w:tcPr>
            <w:tcW w:w="1940" w:type="dxa"/>
            <w:vAlign w:val="bottom"/>
            <w:tcBorders>
              <w:top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Interest rate swaps – Asset</w:t>
            </w:r>
          </w:p>
        </w:tc>
        <w:tc>
          <w:tcPr>
            <w:tcW w:w="1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2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Borders>
              <w:top w:val="single" w:sz="8" w:color="CFF0FC"/>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Interest rate swaps – Liability</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-2442845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-2442845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-2442845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-1310640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-1310640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-1310640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-316865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3" w:lineRule="exact"/>
        <w:rPr>
          <w:sz w:val="20"/>
          <w:szCs w:val="20"/>
          <w:color w:val="auto"/>
        </w:rPr>
      </w:pPr>
    </w:p>
    <w:p>
      <w:pPr>
        <w:ind w:left="180" w:right="200" w:hanging="172"/>
        <w:spacing w:after="0" w:line="287" w:lineRule="auto"/>
        <w:tabs>
          <w:tab w:leader="none" w:pos="16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derivative asset and liability balances as of September 30, 2026 and December 31, 2025 are included in other assets and accounts payable, accrued expenses and other liabilities,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340" w:firstLine="8"/>
        <w:spacing w:after="0" w:line="370"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Litigation</w:t>
      </w:r>
    </w:p>
    <w:p>
      <w:pPr>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and legal actions arising in the ordinary course of business. As of September 30, 2026, the Company was not involved in any material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through the issuance date of the financial statements, and determined that except as otherwise disclosed herein there were no additional material subsequent events requiring disclosure.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acquisition</w:t>
      </w:r>
    </w:p>
    <w:p>
      <w:pPr>
        <w:spacing w:after="0" w:line="119"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On October 5, 2026, the Company acquired a 257,779 square foot grocery-anchored neighborhood retail center in the Philadelphia, Pennsylvania Metropolitan Statistical Area for $60.0 million, excluding closing costs.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November 5, 2026, the Company acquired a 550,844 square foot industrial facility in the Huntsville, Alabama Metropolitan Statistical Area for $63.0 million, excluding closing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References herein to the “Company,” “we,” “us,” or “our” refer to J.P. Morgan Real Estate Income Trust, Inc. together with its consolidated subsidiaries, including J.P. Morgan REIT Operating Partnership, L.P. (the “Operating Partnership”), a Delaware limited partnership of which we are the general partner, unless the context specifically requires otherwise.</w:t>
      </w:r>
    </w:p>
    <w:p>
      <w:pPr>
        <w:spacing w:after="0" w:line="59"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notes thereto appearing elsewhere in this Quarterly Report on Form 10-Q.</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our business, including, in particular, statements about our plans, strategies and objectives. You can generally identify forward-looking statements by our use of forward-looking terminology such as “may,” “will,” “expect,” “intend,” “anticipate,” “estimate,” “believe,” “continue,” or other similar words. These statements include our plans and objectives for future operations, including plans and objectives relating to future growth and availability of funds, and are based on current expectations that involve numerous risks and uncertainties. Assumptions relating to these statements involve judgments with respect to, among other things, future economic, competitive and market conditions and future business decisions, all of which are difficult or impossible to accurately predict and many of which are beyond our control. Such forward-looking statements are inherently uncertain and there are or may be important factors that could cause actual outcomes or results to differ materially from those indicated in such statements. We believe these factors also include those described under the section entitled “Item 1A. Risk Factors” in our Annual Report on Form 10-K for the year ended December 31, 2025, which is accessible on the SEC’s website at www.sec.gov. These factors should not be construed as exhaustive and should be read in conjunction with the other cautionary statements that are included in this document (or our prospectus and other filings). Except as otherwise required by federal securities laws, we undertake no obligation to publicly update or revise any forward-looking statements, whether as a result of new information, future developments or otherwise.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Maryland corporation formed on November 5, 2021. We were formed to invest primarily in stabilized, income-generating real properties. We are an externally advised, perpetual-life REIT formed to pursue the following investment objectives: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attractive current income in the form of regular, stable cash distributions;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protect invested capital;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appreciation in NAV from proactive investment management and asset management;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investment alternative for stockholders seeking to allocate a portion of their long-term investment portfolios to real estate.</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achieve our investment objectives. In particular, we note that our NAV may be subject to volatility related to changes in the values of our assets.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currently qualify, and intend to continue to qualify, as a REIT for federal income tax purposes. We own all or substantially all of our assets through the Operating Partnership, of which we are the sole general partner.</w:t>
      </w:r>
    </w:p>
    <w:p>
      <w:pPr>
        <w:spacing w:after="0" w:line="4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Our board of directors at all times has ultimate oversight and policymaking authority over us, including responsibility for governance, financial controls, compliance and disclosure. Pursuant to the Advisory Agreement, however, we have delegated to the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of directors.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public offering of our common stock commenced on July 22, 2022. We acquired our first investment on September 2, 2022.</w:t>
      </w:r>
    </w:p>
    <w:p>
      <w:pPr>
        <w:spacing w:after="0" w:line="1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July 8, 2025, we filed a Registration Statement on Form S-11 (File No. 333-288565) for our second public offering to register up to $4.8 billion of shares of common stock, consisting of up to $3.8 billion in shares of common stock in our primary offering and up to $1.0 billion in shares pursuant to our distribution reinvestment plan. On February 4, 2026, we commenced our second public offering and our initial public offering automatically terminated. In addition to our public offerings, we are conducting several private offerings.</w:t>
      </w:r>
    </w:p>
    <w:p>
      <w:pPr>
        <w:spacing w:after="0" w:line="8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intend to contribute the net proceeds from the Offerings which are not used or retained to pay the fees and expenses attributable to our operations to the Operating Partnership. The Operating Partnership will use the net proceeds received from us to make investments in accordance with our investment strategy and policies.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number and type of properties or real estate-related and other investments that we acquire will depend upon real estate market conditions, the amount of proceeds we raise in the Offerings and other circumstances existing at the time we are acquiring such assets.</w:t>
      </w:r>
    </w:p>
    <w:p>
      <w:pPr>
        <w:spacing w:after="0" w:line="6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We are not aware of any material trends or uncertainties, favorable or unfavorable, other than national economic conditions affecting real estate generally, that may be reasonably anticipated to have a material impact on either capital resources or the revenue or income to be derived from acquiring properties, real estate debt and real estate-related or other securities.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2026 Highlights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raising and distributions</w:t>
      </w:r>
    </w:p>
    <w:p>
      <w:pPr>
        <w:spacing w:after="0" w:line="106" w:lineRule="exact"/>
        <w:rPr>
          <w:sz w:val="20"/>
          <w:szCs w:val="20"/>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net proceeds of $26.8 million from the sale of shares of our common stock, including shares issued under our distribution reinvestment plan, during the three months ended September 30, 2026.</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distributions totaling $12.8 million for the three months ended September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average annualized distribution rates and total returns as of September 30, 2026 are shown in the following table: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Average annualized distribution rate</w:t>
      </w:r>
      <w:r>
        <w:rPr>
          <w:rFonts w:ascii="Times New Roman" w:cs="Times New Roman" w:eastAsia="Times New Roman" w:hAnsi="Times New Roman"/>
          <w:sz w:val="23"/>
          <w:szCs w:val="23"/>
          <w:color w:val="auto"/>
          <w:vertAlign w:val="superscript"/>
        </w:rPr>
        <w:t>(1)</w:t>
      </w:r>
    </w:p>
    <w:p>
      <w:pPr>
        <w:spacing w:after="0" w:line="15" w:lineRule="exact"/>
        <w:rPr>
          <w:sz w:val="20"/>
          <w:szCs w:val="20"/>
          <w:color w:val="auto"/>
        </w:rPr>
      </w:pPr>
    </w:p>
    <w:p>
      <w:pPr>
        <w:ind w:left="60" w:right="900"/>
        <w:spacing w:after="0" w:line="219" w:lineRule="auto"/>
        <w:rPr>
          <w:sz w:val="20"/>
          <w:szCs w:val="20"/>
          <w:color w:val="auto"/>
        </w:rPr>
      </w:pPr>
      <w:r>
        <w:rPr>
          <w:rFonts w:ascii="Times New Roman" w:cs="Times New Roman" w:eastAsia="Times New Roman" w:hAnsi="Times New Roman"/>
          <w:sz w:val="18"/>
          <w:szCs w:val="18"/>
          <w:color w:val="auto"/>
        </w:rPr>
        <w:t>Year-to-date total return, without upfront selling commissions</w:t>
      </w:r>
      <w:r>
        <w:rPr>
          <w:rFonts w:ascii="Times New Roman" w:cs="Times New Roman" w:eastAsia="Times New Roman" w:hAnsi="Times New Roman"/>
          <w:sz w:val="23"/>
          <w:szCs w:val="23"/>
          <w:color w:val="auto"/>
          <w:vertAlign w:val="superscript"/>
        </w:rPr>
        <w:t>(2)</w:t>
      </w:r>
    </w:p>
    <w:p>
      <w:pPr>
        <w:spacing w:after="0" w:line="2" w:lineRule="exact"/>
        <w:rPr>
          <w:sz w:val="20"/>
          <w:szCs w:val="20"/>
          <w:color w:val="auto"/>
        </w:rPr>
      </w:pPr>
    </w:p>
    <w:p>
      <w:pPr>
        <w:ind w:left="60"/>
        <w:spacing w:after="0" w:line="219" w:lineRule="auto"/>
        <w:rPr>
          <w:sz w:val="20"/>
          <w:szCs w:val="20"/>
          <w:color w:val="auto"/>
        </w:rPr>
      </w:pPr>
      <w:r>
        <w:rPr>
          <w:rFonts w:ascii="Times New Roman" w:cs="Times New Roman" w:eastAsia="Times New Roman" w:hAnsi="Times New Roman"/>
          <w:sz w:val="18"/>
          <w:szCs w:val="18"/>
          <w:color w:val="auto"/>
        </w:rPr>
        <w:t>Year-to-date total return, assuming maximum upfront selling commissions</w:t>
      </w:r>
      <w:r>
        <w:rPr>
          <w:rFonts w:ascii="Times New Roman" w:cs="Times New Roman" w:eastAsia="Times New Roman" w:hAnsi="Times New Roman"/>
          <w:sz w:val="23"/>
          <w:szCs w:val="23"/>
          <w:color w:val="auto"/>
          <w:vertAlign w:val="superscript"/>
        </w:rPr>
        <w:t>(2)</w:t>
      </w:r>
    </w:p>
    <w:p>
      <w:pPr>
        <w:spacing w:after="0" w:line="2" w:lineRule="exact"/>
        <w:rPr>
          <w:sz w:val="20"/>
          <w:szCs w:val="20"/>
          <w:color w:val="auto"/>
        </w:rPr>
      </w:pPr>
    </w:p>
    <w:p>
      <w:pPr>
        <w:ind w:left="60" w:right="540"/>
        <w:spacing w:after="0" w:line="219" w:lineRule="auto"/>
        <w:rPr>
          <w:sz w:val="20"/>
          <w:szCs w:val="20"/>
          <w:color w:val="auto"/>
        </w:rPr>
      </w:pPr>
      <w:r>
        <w:rPr>
          <w:rFonts w:ascii="Times New Roman" w:cs="Times New Roman" w:eastAsia="Times New Roman" w:hAnsi="Times New Roman"/>
          <w:sz w:val="18"/>
          <w:szCs w:val="18"/>
          <w:color w:val="auto"/>
        </w:rPr>
        <w:t>Inception-to-date total return, without upfront selling commissions</w:t>
      </w:r>
      <w:r>
        <w:rPr>
          <w:rFonts w:ascii="Times New Roman" w:cs="Times New Roman" w:eastAsia="Times New Roman" w:hAnsi="Times New Roman"/>
          <w:sz w:val="23"/>
          <w:szCs w:val="23"/>
          <w:color w:val="auto"/>
          <w:vertAlign w:val="superscript"/>
        </w:rPr>
        <w:t>(2) (3)</w:t>
      </w:r>
    </w:p>
    <w:p>
      <w:pPr>
        <w:spacing w:after="0" w:line="2" w:lineRule="exact"/>
        <w:rPr>
          <w:sz w:val="20"/>
          <w:szCs w:val="20"/>
          <w:color w:val="auto"/>
        </w:rPr>
      </w:pPr>
    </w:p>
    <w:p>
      <w:pPr>
        <w:ind w:left="60" w:right="160"/>
        <w:spacing w:after="0" w:line="233" w:lineRule="auto"/>
        <w:rPr>
          <w:sz w:val="20"/>
          <w:szCs w:val="20"/>
          <w:color w:val="auto"/>
        </w:rPr>
      </w:pPr>
      <w:r>
        <w:rPr>
          <w:rFonts w:ascii="Times New Roman" w:cs="Times New Roman" w:eastAsia="Times New Roman" w:hAnsi="Times New Roman"/>
          <w:sz w:val="18"/>
          <w:szCs w:val="18"/>
          <w:color w:val="auto"/>
        </w:rPr>
        <w:t>Inception-to-date total return, assuming maximum upfront selling commissions</w:t>
      </w:r>
      <w:r>
        <w:rPr>
          <w:rFonts w:ascii="Times New Roman" w:cs="Times New Roman" w:eastAsia="Times New Roman" w:hAnsi="Times New Roman"/>
          <w:sz w:val="23"/>
          <w:szCs w:val="23"/>
          <w:color w:val="auto"/>
          <w:vertAlign w:val="superscript"/>
        </w:rPr>
        <w:t>(2) (3)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Class I</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E</w:t>
            </w:r>
          </w:p>
        </w:tc>
        <w:tc>
          <w:tcPr>
            <w:tcW w:w="17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Class Y</w:t>
            </w:r>
          </w:p>
        </w:tc>
      </w:tr>
      <w:tr>
        <w:trPr>
          <w:trHeight w:val="237"/>
        </w:trPr>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w:t>
            </w:r>
          </w:p>
        </w:tc>
      </w:tr>
      <w:tr>
        <w:trPr>
          <w:trHeight w:val="338"/>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32"/>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-762000</wp:posOffset>
            </wp:positionV>
            <wp:extent cx="7098030" cy="274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98030" cy="27432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-213995</wp:posOffset>
            </wp:positionV>
            <wp:extent cx="7098030" cy="274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98030" cy="27432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-1199515</wp:posOffset>
            </wp:positionV>
            <wp:extent cx="7098030"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420" w:space="120"/>
            <w:col w:w="6680"/>
          </w:cols>
          <w:pgMar w:left="320" w:top="121" w:right="359" w:bottom="1440" w:gutter="0" w:footer="0" w:header="0"/>
          <w:type w:val="continuous"/>
        </w:sectPr>
      </w:pPr>
    </w:p>
    <w:p>
      <w:pPr>
        <w:ind w:left="180" w:right="40" w:hanging="172"/>
        <w:spacing w:after="0" w:line="272"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Average annualized distribution rate is calculated as the current month's distribution annualized and divided by the prior month's NAV, which is inclusive of all fees and expenses.</w:t>
      </w:r>
    </w:p>
    <w:p>
      <w:pPr>
        <w:spacing w:after="0" w:line="3" w:lineRule="exact"/>
        <w:rPr>
          <w:rFonts w:ascii="Times New Roman" w:cs="Times New Roman" w:eastAsia="Times New Roman" w:hAnsi="Times New Roman"/>
          <w:sz w:val="20"/>
          <w:szCs w:val="20"/>
          <w:color w:val="auto"/>
          <w:vertAlign w:val="superscript"/>
        </w:rPr>
      </w:pPr>
    </w:p>
    <w:p>
      <w:pPr>
        <w:ind w:left="180" w:right="60" w:hanging="172"/>
        <w:spacing w:after="0" w:line="269"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Total return is calculated as the change in NAV per share during the respective period plus any distributions per share declared in the period and assumes any distributions are reinvested in accordance with our distribution reinvestment plan. Inception-to-date total return is annualized.</w:t>
      </w:r>
    </w:p>
    <w:p>
      <w:pPr>
        <w:spacing w:after="0" w:line="8" w:lineRule="exact"/>
        <w:rPr>
          <w:rFonts w:ascii="Times New Roman" w:cs="Times New Roman" w:eastAsia="Times New Roman" w:hAnsi="Times New Roman"/>
          <w:sz w:val="20"/>
          <w:szCs w:val="20"/>
          <w:color w:val="auto"/>
          <w:vertAlign w:val="superscript"/>
        </w:rPr>
      </w:pPr>
    </w:p>
    <w:p>
      <w:pPr>
        <w:ind w:left="180" w:right="100" w:hanging="172"/>
        <w:spacing w:after="0" w:line="269" w:lineRule="auto"/>
        <w:tabs>
          <w:tab w:leader="none" w:pos="16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inception date was January 3, 2023 for Class D shares, November 1, 2023 for Class I shares, August 1, 2022 for Class E shares and January 1, 2024 for Class Y shares.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0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Originated a $60.0 million real estate debt investment, of which $54.0 million was funded at origination.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one retail and two industrial properties for $283.0 million, excluding closing costs during the three months ended September 30,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06" w:lineRule="exact"/>
        <w:rPr>
          <w:sz w:val="20"/>
          <w:szCs w:val="20"/>
          <w:color w:val="auto"/>
        </w:rPr>
      </w:pPr>
    </w:p>
    <w:p>
      <w:pPr>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maximum aggregate purchase price of the Repurchase Facility from $250.0 million to $400.0 million. The Repurchase Facility was used to finance commercial mortgage loan origination.</w:t>
      </w:r>
    </w:p>
    <w:p>
      <w:pPr>
        <w:spacing w:after="0" w:line="6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aggregate amount of the Credit Facility from $325.0 million to $550.0 million. The Credit Facility was used to finance real estate acquisitions.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outlines the percentage of our assets across investments in real estate, real estate debt and real estate-related and other securities based on fair value by category as of September 30, 2026:</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Asset Allocation</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43180</wp:posOffset>
            </wp:positionV>
            <wp:extent cx="3454400" cy="2468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544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right="260" w:hanging="172"/>
        <w:spacing w:after="0" w:line="287" w:lineRule="auto"/>
        <w:tabs>
          <w:tab w:leader="none" w:pos="168"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Real estate includes our direct property investments; real estate debt includes commercial mortgage loans; and real estate-related and other securities consists of our CMBS investments.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further describe the composition of our investments in real estate based on estimated fair value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85725</wp:posOffset>
            </wp:positionV>
            <wp:extent cx="5589270" cy="2468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8927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Investments in real estate</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As of September 30, 2026, we owned 72 real estate properties which are summarized in the following table ($ in thousands):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 Ft. (in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thousands)/</w:t>
            </w: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Asset</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76"/>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type</w:t>
            </w:r>
          </w:p>
        </w:tc>
        <w:tc>
          <w:tcPr>
            <w:tcW w:w="100" w:type="dxa"/>
            <w:vAlign w:val="bottom"/>
            <w:vMerge w:val="restart"/>
          </w:tcPr>
          <w:p>
            <w:pPr>
              <w:spacing w:after="0"/>
              <w:rPr>
                <w:sz w:val="15"/>
                <w:szCs w:val="15"/>
                <w:color w:val="auto"/>
              </w:rPr>
            </w:pPr>
          </w:p>
        </w:tc>
        <w:tc>
          <w:tcPr>
            <w:tcW w:w="1380" w:type="dxa"/>
            <w:vAlign w:val="bottom"/>
            <w:vMerge w:val="continue"/>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Occupancy</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3"/>
                <w:szCs w:val="23"/>
                <w:b w:val="1"/>
                <w:bCs w:val="1"/>
                <w:color w:val="auto"/>
                <w:vertAlign w:val="superscript"/>
              </w:rPr>
              <w:t>(4)</w:t>
            </w:r>
          </w:p>
        </w:tc>
        <w:tc>
          <w:tcPr>
            <w:tcW w:w="80" w:type="dxa"/>
            <w:vAlign w:val="bottom"/>
            <w:vMerge w:val="restart"/>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FF0FC"/>
            </w:tcBorders>
            <w:vMerge w:val="continue"/>
          </w:tcPr>
          <w:p>
            <w:pPr>
              <w:spacing w:after="0"/>
              <w:rPr>
                <w:sz w:val="21"/>
                <w:szCs w:val="21"/>
                <w:color w:val="auto"/>
              </w:rPr>
            </w:pP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5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Units</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Borders>
              <w:bottom w:val="single" w:sz="8" w:color="CFF0FC"/>
            </w:tcBorders>
          </w:tcPr>
          <w:p>
            <w:pPr>
              <w:spacing w:after="0"/>
              <w:rPr>
                <w:sz w:val="21"/>
                <w:szCs w:val="21"/>
                <w:color w:val="auto"/>
              </w:rPr>
            </w:pPr>
          </w:p>
        </w:tc>
        <w:tc>
          <w:tcPr>
            <w:tcW w:w="13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98"/>
                <w:vertAlign w:val="subscript"/>
              </w:rPr>
              <w:t>Rate</w:t>
            </w:r>
            <w:r>
              <w:rPr>
                <w:rFonts w:ascii="Times New Roman" w:cs="Times New Roman" w:eastAsia="Times New Roman" w:hAnsi="Times New Roman"/>
                <w:sz w:val="11"/>
                <w:szCs w:val="11"/>
                <w:b w:val="1"/>
                <w:bCs w:val="1"/>
                <w:color w:val="auto"/>
                <w:w w:val="98"/>
              </w:rPr>
              <w:t>(1)(2)</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line="243"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3"/>
                <w:szCs w:val="23"/>
                <w:b w:val="1"/>
                <w:bCs w:val="1"/>
                <w:color w:val="auto"/>
                <w:vertAlign w:val="superscript"/>
              </w:rPr>
              <w:t>(3)</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vMerge w:val="continue"/>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37"/>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3,087 units</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733,953</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48,869</w:t>
            </w:r>
          </w:p>
        </w:tc>
        <w:tc>
          <w:tcPr>
            <w:tcW w:w="80" w:type="dxa"/>
            <w:vAlign w:val="bottom"/>
            <w:shd w:val="clear" w:color="auto" w:fill="CFF0FC"/>
          </w:tcPr>
          <w:p>
            <w:pPr>
              <w:spacing w:after="0"/>
              <w:rPr>
                <w:sz w:val="20"/>
                <w:szCs w:val="20"/>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0" w:type="dxa"/>
            <w:vAlign w:val="bottom"/>
          </w:tcPr>
          <w:p>
            <w:pPr>
              <w:spacing w:after="0"/>
              <w:rPr>
                <w:sz w:val="1"/>
                <w:szCs w:val="1"/>
                <w:color w:val="auto"/>
              </w:rPr>
            </w:pPr>
          </w:p>
        </w:tc>
      </w:tr>
      <w:tr>
        <w:trPr>
          <w:trHeight w:val="243"/>
        </w:trPr>
        <w:tc>
          <w:tcPr>
            <w:tcW w:w="23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Single-family rental</w:t>
            </w:r>
            <w:r>
              <w:rPr>
                <w:rFonts w:ascii="Times New Roman" w:cs="Times New Roman" w:eastAsia="Times New Roman" w:hAnsi="Times New Roman"/>
                <w:sz w:val="23"/>
                <w:szCs w:val="23"/>
                <w:color w:val="auto"/>
                <w:vertAlign w:val="superscript"/>
              </w:rPr>
              <w:t>(5)</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126 units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3"/>
        </w:trPr>
        <w:tc>
          <w:tcPr>
            <w:tcW w:w="238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Industrial</w:t>
            </w:r>
            <w:r>
              <w:rPr>
                <w:rFonts w:ascii="Times New Roman" w:cs="Times New Roman" w:eastAsia="Times New Roman" w:hAnsi="Times New Roman"/>
                <w:sz w:val="23"/>
                <w:szCs w:val="23"/>
                <w:color w:val="auto"/>
                <w:vertAlign w:val="superscript"/>
              </w:rPr>
              <w:t>(6)</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6,476 sq. ft.</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709,679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80" w:type="dxa"/>
            <w:vAlign w:val="bottom"/>
            <w:shd w:val="clear" w:color="auto" w:fill="CFF0FC"/>
          </w:tcPr>
          <w:p>
            <w:pPr>
              <w:spacing w:after="0"/>
              <w:rPr>
                <w:sz w:val="21"/>
                <w:szCs w:val="21"/>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0" w:type="dxa"/>
            <w:vAlign w:val="bottom"/>
          </w:tcPr>
          <w:p>
            <w:pPr>
              <w:spacing w:after="0"/>
              <w:rPr>
                <w:sz w:val="1"/>
                <w:szCs w:val="1"/>
                <w:color w:val="auto"/>
              </w:rPr>
            </w:pPr>
          </w:p>
        </w:tc>
      </w:tr>
      <w:tr>
        <w:trPr>
          <w:trHeight w:val="243"/>
        </w:trPr>
        <w:tc>
          <w:tcPr>
            <w:tcW w:w="23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Retail</w:t>
            </w:r>
            <w:r>
              <w:rPr>
                <w:rFonts w:ascii="Times New Roman" w:cs="Times New Roman" w:eastAsia="Times New Roman" w:hAnsi="Times New Roman"/>
                <w:sz w:val="23"/>
                <w:szCs w:val="23"/>
                <w:color w:val="auto"/>
                <w:vertAlign w:val="superscript"/>
              </w:rPr>
              <w:t>(7)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368 sq. ft.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43"/>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3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958 sq. ft.</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62,094</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8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1,720,942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94,874</w:t>
            </w:r>
          </w:p>
        </w:tc>
        <w:tc>
          <w:tcPr>
            <w:tcW w:w="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-976630</wp:posOffset>
            </wp:positionV>
            <wp:extent cx="59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-976630</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-976630</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43" w:lineRule="exact"/>
        <w:rPr>
          <w:sz w:val="20"/>
          <w:szCs w:val="20"/>
          <w:color w:val="auto"/>
        </w:rPr>
      </w:pPr>
    </w:p>
    <w:p>
      <w:pPr>
        <w:ind w:left="160" w:hanging="152"/>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properties under development related to one of our retail investments.</w:t>
      </w:r>
    </w:p>
    <w:p>
      <w:pPr>
        <w:spacing w:after="0" w:line="17" w:lineRule="exact"/>
        <w:rPr>
          <w:rFonts w:ascii="Times New Roman" w:cs="Times New Roman" w:eastAsia="Times New Roman" w:hAnsi="Times New Roman"/>
          <w:sz w:val="19"/>
          <w:szCs w:val="19"/>
          <w:color w:val="auto"/>
          <w:vertAlign w:val="superscript"/>
        </w:rPr>
      </w:pPr>
    </w:p>
    <w:p>
      <w:pPr>
        <w:ind w:left="180" w:hanging="172"/>
        <w:spacing w:after="0" w:line="308" w:lineRule="auto"/>
        <w:tabs>
          <w:tab w:leader="none" w:pos="168"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Reflects real estate operating property investments only. Occupancy for our multifamily and single-family rental properties is measured monthly by dividing property market rent for occupied units by the gross market rent potential of all units. Gross market rent potential is the average monthly market rent of all units at the property. For our retail, office and industrial properties,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ind w:left="160" w:hanging="152"/>
        <w:spacing w:after="0" w:line="224"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fair value as of September 30, 2026.</w:t>
      </w:r>
    </w:p>
    <w:p>
      <w:pPr>
        <w:ind w:left="160" w:hanging="152"/>
        <w:spacing w:after="0" w:line="222"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Revenue includes tenant recoveries, straight-line rent, above-market lease amortization and below-market lease amortization.</w:t>
      </w:r>
    </w:p>
    <w:p>
      <w:pPr>
        <w:ind w:left="160" w:hanging="152"/>
        <w:spacing w:after="0" w:line="235"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126 townhomes that are presented as a single property in the number of properties.</w:t>
      </w:r>
    </w:p>
    <w:p>
      <w:pPr>
        <w:spacing w:after="0" w:line="2" w:lineRule="exact"/>
        <w:rPr>
          <w:rFonts w:ascii="Times New Roman" w:cs="Times New Roman" w:eastAsia="Times New Roman" w:hAnsi="Times New Roman"/>
          <w:sz w:val="19"/>
          <w:szCs w:val="19"/>
          <w:color w:val="auto"/>
          <w:vertAlign w:val="superscript"/>
        </w:rPr>
      </w:pPr>
    </w:p>
    <w:p>
      <w:pPr>
        <w:ind w:left="160" w:hanging="152"/>
        <w:spacing w:after="0" w:line="222"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3.7 million square feet of land related to industrial outdoor storage and 2.0 million square feet of buildings related to other industrial properties.</w:t>
      </w:r>
    </w:p>
    <w:p>
      <w:pPr>
        <w:ind w:left="160" w:hanging="152"/>
        <w:spacing w:after="0" w:line="235"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three retail developments that are represented as a single property in the number of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real estate properties as of September 30,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Type and</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Sq. ft.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0" w:type="dxa"/>
            <w:vAlign w:val="bottom"/>
            <w:gridSpan w:val="5"/>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Location</w:t>
            </w:r>
            <w:r>
              <w:rPr>
                <w:rFonts w:ascii="Times New Roman" w:cs="Times New Roman" w:eastAsia="Times New Roman" w:hAnsi="Times New Roman"/>
                <w:sz w:val="23"/>
                <w:szCs w:val="23"/>
                <w:b w:val="1"/>
                <w:bCs w:val="1"/>
                <w:color w:val="auto"/>
                <w:w w:val="95"/>
                <w:vertAlign w:val="superscript"/>
              </w:rPr>
              <w:t>(1)</w:t>
            </w:r>
          </w:p>
        </w:tc>
        <w:tc>
          <w:tcPr>
            <w:tcW w:w="80" w:type="dxa"/>
            <w:vAlign w:val="bottom"/>
            <w:vMerge w:val="restart"/>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thousands)/Number</w:t>
            </w:r>
          </w:p>
        </w:tc>
        <w:tc>
          <w:tcPr>
            <w:tcW w:w="100" w:type="dxa"/>
            <w:vAlign w:val="bottom"/>
          </w:tcPr>
          <w:p>
            <w:pPr>
              <w:spacing w:after="0"/>
              <w:rPr>
                <w:sz w:val="16"/>
                <w:szCs w:val="16"/>
                <w:color w:val="auto"/>
              </w:rPr>
            </w:pP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Occupancy</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2"/>
              </w:rPr>
              <w:t>Interest</w:t>
            </w:r>
            <w:r>
              <w:rPr>
                <w:rFonts w:ascii="Times New Roman" w:cs="Times New Roman" w:eastAsia="Times New Roman" w:hAnsi="Times New Roman"/>
                <w:sz w:val="23"/>
                <w:szCs w:val="23"/>
                <w:b w:val="1"/>
                <w:bCs w:val="1"/>
                <w:color w:val="auto"/>
                <w:w w:val="92"/>
                <w:vertAlign w:val="superscript"/>
              </w:rPr>
              <w:t>(2)</w:t>
            </w:r>
          </w:p>
        </w:tc>
        <w:tc>
          <w:tcPr>
            <w:tcW w:w="10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4"/>
              </w:rPr>
              <w:t>of Units</w:t>
            </w:r>
            <w:r>
              <w:rPr>
                <w:rFonts w:ascii="Times New Roman" w:cs="Times New Roman" w:eastAsia="Times New Roman" w:hAnsi="Times New Roman"/>
                <w:sz w:val="23"/>
                <w:szCs w:val="23"/>
                <w:b w:val="1"/>
                <w:bCs w:val="1"/>
                <w:color w:val="auto"/>
                <w:w w:val="94"/>
                <w:vertAlign w:val="superscript"/>
              </w:rPr>
              <w:t>(3)</w:t>
            </w:r>
          </w:p>
        </w:tc>
        <w:tc>
          <w:tcPr>
            <w:tcW w:w="1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2400" w:type="dxa"/>
            <w:vAlign w:val="bottom"/>
            <w:gridSpan w:val="5"/>
            <w:shd w:val="clear" w:color="auto" w:fill="CFF0FC"/>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Multifamily:</w:t>
            </w: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Caroline West Gray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Houston, TX</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2022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 units</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95%</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Caroline Post Oak</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Houston, TX</w:t>
            </w:r>
          </w:p>
        </w:tc>
        <w:tc>
          <w:tcPr>
            <w:tcW w:w="14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2022</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238 units</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Coda on Centre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Pittsburgh, PA</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 units</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99%</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Preserve at Pine Valley</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Wilmington, NC</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219 units</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Bass Lofts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Atlanta, GA</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 units</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96%</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Elmstead</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Providence, RI</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May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 units</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Kensley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Jacksonville, FL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 units</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82%</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Echelon Oswego</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Chicago, IL</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June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312 units</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Reflections at Red Mountain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Mesa, AZ</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 units</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86%</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Charleston Darby Portfolio</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Charleston, SC</w:t>
            </w:r>
          </w:p>
        </w:tc>
        <w:tc>
          <w:tcPr>
            <w:tcW w:w="14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647 units</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Vineyard Commons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Kingston, NY</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 units</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96%</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Baker Chocolate Factory</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Boston, MA</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133 units</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95%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tcPr>
          <w:p>
            <w:pPr>
              <w:spacing w:after="0"/>
              <w:rPr>
                <w:sz w:val="21"/>
                <w:szCs w:val="21"/>
                <w:color w:val="auto"/>
              </w:rPr>
            </w:pPr>
          </w:p>
        </w:tc>
        <w:tc>
          <w:tcPr>
            <w:tcW w:w="240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8"/>
                <w:szCs w:val="18"/>
                <w:color w:val="auto"/>
              </w:rPr>
              <w:t>Harrison Hill</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1740" w:type="dxa"/>
            <w:vAlign w:val="bottom"/>
            <w:tcBorders>
              <w:bottom w:val="single" w:sz="8" w:color="CFF0FC"/>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Philadelphia, PA</w:t>
            </w:r>
          </w:p>
        </w:tc>
        <w:tc>
          <w:tcPr>
            <w:tcW w:w="1400" w:type="dxa"/>
            <w:vAlign w:val="bottom"/>
            <w:tcBorders>
              <w:bottom w:val="single" w:sz="8" w:color="CFF0FC"/>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2026</w:t>
            </w:r>
          </w:p>
        </w:tc>
        <w:tc>
          <w:tcPr>
            <w:tcW w:w="12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 units</w:t>
            </w:r>
          </w:p>
        </w:tc>
        <w:tc>
          <w:tcPr>
            <w:tcW w:w="1500" w:type="dxa"/>
            <w:vAlign w:val="bottom"/>
            <w:tcBorders>
              <w:bottom w:val="single" w:sz="8" w:color="CFF0FC"/>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r>
        <w:trPr>
          <w:trHeight w:val="262"/>
        </w:trPr>
        <w:tc>
          <w:tcPr>
            <w:tcW w:w="20" w:type="dxa"/>
            <w:vAlign w:val="bottom"/>
            <w:tcBorders>
              <w:bottom w:val="single" w:sz="8" w:color="CFF0FC"/>
            </w:tcBorders>
            <w:shd w:val="clear" w:color="auto" w:fill="CFF0FC"/>
          </w:tcPr>
          <w:p>
            <w:pPr>
              <w:spacing w:after="0"/>
              <w:rPr>
                <w:sz w:val="22"/>
                <w:szCs w:val="22"/>
                <w:color w:val="auto"/>
              </w:rPr>
            </w:pPr>
          </w:p>
        </w:tc>
        <w:tc>
          <w:tcPr>
            <w:tcW w:w="240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multifamily</w:t>
            </w: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3,087 units</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2400" w:type="dxa"/>
            <w:vAlign w:val="bottom"/>
            <w:tcBorders>
              <w:top w:val="single" w:sz="8" w:color="CFF0FC"/>
              <w:bottom w:val="single" w:sz="8" w:color="CFF0FC"/>
            </w:tcBorders>
            <w:gridSpan w:val="5"/>
            <w:vMerge w:val="restart"/>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Single-family rental:</w:t>
            </w: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FF0FC"/>
          </w:tcPr>
          <w:p>
            <w:pPr>
              <w:spacing w:after="0"/>
              <w:rPr>
                <w:sz w:val="17"/>
                <w:szCs w:val="17"/>
                <w:color w:val="auto"/>
              </w:rPr>
            </w:pPr>
          </w:p>
        </w:tc>
        <w:tc>
          <w:tcPr>
            <w:tcW w:w="240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Fiore</w:t>
            </w:r>
            <w:r>
              <w:rPr>
                <w:rFonts w:ascii="Times New Roman" w:cs="Times New Roman" w:eastAsia="Times New Roman" w:hAnsi="Times New Roman"/>
                <w:sz w:val="23"/>
                <w:szCs w:val="23"/>
                <w:color w:val="auto"/>
                <w:vertAlign w:val="superscript"/>
              </w:rPr>
              <w:t>(5)</w:t>
            </w:r>
          </w:p>
        </w:tc>
        <w:tc>
          <w:tcPr>
            <w:tcW w:w="1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7"/>
                <w:szCs w:val="17"/>
                <w:color w:val="auto"/>
              </w:rPr>
            </w:pPr>
          </w:p>
        </w:tc>
        <w:tc>
          <w:tcPr>
            <w:tcW w:w="174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Sarasota, FL</w:t>
            </w:r>
          </w:p>
        </w:tc>
        <w:tc>
          <w:tcPr>
            <w:tcW w:w="1400" w:type="dxa"/>
            <w:vAlign w:val="bottom"/>
            <w:gridSpan w:val="2"/>
            <w:shd w:val="clear" w:color="auto" w:fill="CFF0FC"/>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December 2023 -</w:t>
            </w:r>
          </w:p>
        </w:tc>
        <w:tc>
          <w:tcPr>
            <w:tcW w:w="1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17"/>
                <w:szCs w:val="17"/>
                <w:color w:val="auto"/>
              </w:rPr>
            </w:pPr>
          </w:p>
        </w:tc>
        <w:tc>
          <w:tcPr>
            <w:tcW w:w="15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126 units</w:t>
            </w:r>
          </w:p>
        </w:tc>
        <w:tc>
          <w:tcPr>
            <w:tcW w:w="150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2400" w:type="dxa"/>
            <w:vAlign w:val="bottom"/>
            <w:tcBorders>
              <w:bottom w:val="single" w:sz="8" w:color="CFF0FC"/>
            </w:tcBorders>
            <w:gridSpan w:val="5"/>
            <w:vMerge w:val="continue"/>
            <w:shd w:val="clear" w:color="auto" w:fill="CFF0FC"/>
          </w:tcPr>
          <w:p>
            <w:pPr>
              <w:spacing w:after="0"/>
              <w:rPr>
                <w:sz w:val="20"/>
                <w:szCs w:val="20"/>
                <w:color w:val="auto"/>
              </w:rPr>
            </w:pPr>
          </w:p>
        </w:tc>
        <w:tc>
          <w:tcPr>
            <w:tcW w:w="114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gridSpan w:val="2"/>
            <w:vMerge w:val="continue"/>
            <w:shd w:val="clear" w:color="auto" w:fill="CFF0FC"/>
          </w:tcPr>
          <w:p>
            <w:pPr>
              <w:spacing w:after="0"/>
              <w:rPr>
                <w:sz w:val="20"/>
                <w:szCs w:val="20"/>
                <w:color w:val="auto"/>
              </w:rPr>
            </w:pPr>
          </w:p>
        </w:tc>
        <w:tc>
          <w:tcPr>
            <w:tcW w:w="1400" w:type="dxa"/>
            <w:vAlign w:val="bottom"/>
            <w:tcBorders>
              <w:bottom w:val="single" w:sz="8" w:color="CFF0FC"/>
            </w:tcBorders>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2024</w:t>
            </w:r>
          </w:p>
        </w:tc>
        <w:tc>
          <w:tcPr>
            <w:tcW w:w="128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vMerge w:val="continue"/>
            <w:shd w:val="clear" w:color="auto" w:fill="CFF0FC"/>
          </w:tcPr>
          <w:p>
            <w:pPr>
              <w:spacing w:after="0"/>
              <w:rPr>
                <w:sz w:val="20"/>
                <w:szCs w:val="20"/>
                <w:color w:val="auto"/>
              </w:rPr>
            </w:pPr>
          </w:p>
        </w:tc>
        <w:tc>
          <w:tcPr>
            <w:tcW w:w="1500" w:type="dxa"/>
            <w:vAlign w:val="bottom"/>
            <w:tcBorders>
              <w:bottom w:val="single" w:sz="8" w:color="CFF0FC"/>
            </w:tcBorders>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single-family rental</w:t>
            </w: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 units</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i w:val="1"/>
                <w:iCs w:val="1"/>
                <w:color w:val="auto"/>
                <w:w w:val="98"/>
              </w:rPr>
              <w:t>Industrial:</w:t>
            </w:r>
          </w:p>
        </w:tc>
        <w:tc>
          <w:tcPr>
            <w:tcW w:w="1620" w:type="dxa"/>
            <w:vAlign w:val="bottom"/>
            <w:tcBorders>
              <w:bottom w:val="single" w:sz="8" w:color="CFF0FC"/>
            </w:tcBorders>
            <w:gridSpan w:val="4"/>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Industrial outdoor storage</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6200 Bristol</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Philadelphia, PA</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2022</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424 sq. ft.</w:t>
            </w:r>
          </w:p>
        </w:tc>
        <w:tc>
          <w:tcPr>
            <w:tcW w:w="1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Industrial outdoor storage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0"/>
              </w:rPr>
              <w:t>Various</w:t>
            </w:r>
            <w:r>
              <w:rPr>
                <w:rFonts w:ascii="Times New Roman" w:cs="Times New Roman" w:eastAsia="Times New Roman" w:hAnsi="Times New Roman"/>
                <w:sz w:val="23"/>
                <w:szCs w:val="23"/>
                <w:color w:val="auto"/>
                <w:w w:val="90"/>
                <w:vertAlign w:val="superscript"/>
              </w:rPr>
              <w:t>(6)</w:t>
            </w:r>
          </w:p>
        </w:tc>
        <w:tc>
          <w:tcPr>
            <w:tcW w:w="14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June and</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3,284 sq. ft.</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portfolio</w:t>
            </w: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2025</w:t>
            </w: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CFF0FC"/>
            </w:tcBorders>
          </w:tcPr>
          <w:p>
            <w:pPr>
              <w:spacing w:after="0"/>
              <w:rPr>
                <w:sz w:val="4"/>
                <w:szCs w:val="4"/>
                <w:color w:val="auto"/>
              </w:rPr>
            </w:pPr>
          </w:p>
        </w:tc>
        <w:tc>
          <w:tcPr>
            <w:tcW w:w="2400" w:type="dxa"/>
            <w:vAlign w:val="bottom"/>
            <w:tcBorders>
              <w:bottom w:val="single" w:sz="8" w:color="CFF0FC"/>
            </w:tcBorders>
            <w:gridSpan w:val="5"/>
            <w:vMerge w:val="continue"/>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660" w:type="dxa"/>
            <w:vAlign w:val="bottom"/>
            <w:tcBorders>
              <w:bottom w:val="single" w:sz="8" w:color="CFF0FC"/>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400" w:type="dxa"/>
            <w:vAlign w:val="bottom"/>
            <w:tcBorders>
              <w:bottom w:val="single" w:sz="8" w:color="CFF0FC"/>
            </w:tcBorders>
            <w:gridSpan w:val="2"/>
            <w:vMerge w:val="continue"/>
          </w:tcPr>
          <w:p>
            <w:pPr>
              <w:spacing w:after="0"/>
              <w:rPr>
                <w:sz w:val="4"/>
                <w:szCs w:val="4"/>
                <w:color w:val="auto"/>
              </w:rPr>
            </w:pPr>
          </w:p>
        </w:tc>
        <w:tc>
          <w:tcPr>
            <w:tcW w:w="1280" w:type="dxa"/>
            <w:vAlign w:val="bottom"/>
            <w:tcBorders>
              <w:bottom w:val="single" w:sz="8" w:color="CFF0FC"/>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40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industrial outdoor storage</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3,708 sq. ft.</w:t>
            </w: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Other industrial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Savannah Truck Terminal</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Savannah, GA</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2023</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136 sq. ft.</w:t>
            </w:r>
          </w:p>
        </w:tc>
        <w:tc>
          <w:tcPr>
            <w:tcW w:w="1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PODS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0"/>
              </w:rPr>
              <w:t>Various</w:t>
            </w:r>
            <w:r>
              <w:rPr>
                <w:rFonts w:ascii="Times New Roman" w:cs="Times New Roman" w:eastAsia="Times New Roman" w:hAnsi="Times New Roman"/>
                <w:sz w:val="23"/>
                <w:szCs w:val="23"/>
                <w:color w:val="auto"/>
                <w:w w:val="90"/>
                <w:vertAlign w:val="superscript"/>
              </w:rPr>
              <w:t>(7)</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2024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 sq. ft.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Norfolk Industrial Portfolio</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0"/>
              </w:rPr>
              <w:t>Various</w:t>
            </w:r>
            <w:r>
              <w:rPr>
                <w:rFonts w:ascii="Times New Roman" w:cs="Times New Roman" w:eastAsia="Times New Roman" w:hAnsi="Times New Roman"/>
                <w:sz w:val="23"/>
                <w:szCs w:val="23"/>
                <w:color w:val="auto"/>
                <w:w w:val="90"/>
                <w:vertAlign w:val="superscript"/>
              </w:rPr>
              <w:t>(8)</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88%</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581 sq. ft.</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Dallas Infill Portfolio</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Dallas, TX</w:t>
            </w:r>
          </w:p>
        </w:tc>
        <w:tc>
          <w:tcPr>
            <w:tcW w:w="14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May and July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553 sq. ft.</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-5408295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-5408295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Type and</w:t>
            </w: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Sq. ft.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Location</w:t>
            </w:r>
            <w:r>
              <w:rPr>
                <w:rFonts w:ascii="Times New Roman" w:cs="Times New Roman" w:eastAsia="Times New Roman" w:hAnsi="Times New Roman"/>
                <w:sz w:val="23"/>
                <w:szCs w:val="23"/>
                <w:b w:val="1"/>
                <w:bCs w:val="1"/>
                <w:color w:val="auto"/>
                <w:w w:val="95"/>
                <w:vertAlign w:val="superscript"/>
              </w:rPr>
              <w:t>(1)</w:t>
            </w:r>
          </w:p>
        </w:tc>
        <w:tc>
          <w:tcPr>
            <w:tcW w:w="80" w:type="dxa"/>
            <w:vAlign w:val="bottom"/>
            <w:vMerge w:val="restart"/>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thousands)/Number</w:t>
            </w:r>
          </w:p>
        </w:tc>
        <w:tc>
          <w:tcPr>
            <w:tcW w:w="100" w:type="dxa"/>
            <w:vAlign w:val="bottom"/>
          </w:tcPr>
          <w:p>
            <w:pPr>
              <w:spacing w:after="0"/>
              <w:rPr>
                <w:sz w:val="15"/>
                <w:szCs w:val="15"/>
                <w:color w:val="auto"/>
              </w:rPr>
            </w:pPr>
          </w:p>
        </w:tc>
        <w:tc>
          <w:tcPr>
            <w:tcW w:w="14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Occupancy</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00" w:type="dxa"/>
            <w:vAlign w:val="bottom"/>
            <w:tcBorders>
              <w:bottom w:val="single" w:sz="8" w:color="CFF0FC"/>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FF0FC"/>
            </w:tcBorders>
            <w:vMerge w:val="continue"/>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Interest</w:t>
            </w:r>
            <w:r>
              <w:rPr>
                <w:rFonts w:ascii="Times New Roman" w:cs="Times New Roman" w:eastAsia="Times New Roman" w:hAnsi="Times New Roman"/>
                <w:sz w:val="23"/>
                <w:szCs w:val="23"/>
                <w:b w:val="1"/>
                <w:bCs w:val="1"/>
                <w:color w:val="auto"/>
                <w:w w:val="92"/>
                <w:vertAlign w:val="superscript"/>
              </w:rPr>
              <w:t>(2)</w:t>
            </w:r>
          </w:p>
        </w:tc>
        <w:tc>
          <w:tcPr>
            <w:tcW w:w="10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of Units</w:t>
            </w:r>
            <w:r>
              <w:rPr>
                <w:rFonts w:ascii="Times New Roman" w:cs="Times New Roman" w:eastAsia="Times New Roman" w:hAnsi="Times New Roman"/>
                <w:sz w:val="23"/>
                <w:szCs w:val="23"/>
                <w:b w:val="1"/>
                <w:bCs w:val="1"/>
                <w:color w:val="auto"/>
                <w:w w:val="94"/>
                <w:vertAlign w:val="superscript"/>
              </w:rPr>
              <w:t>(3)</w:t>
            </w:r>
          </w:p>
        </w:tc>
        <w:tc>
          <w:tcPr>
            <w:tcW w:w="100" w:type="dxa"/>
            <w:vAlign w:val="bottom"/>
            <w:tcBorders>
              <w:bottom w:val="single" w:sz="8" w:color="CFF0FC"/>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2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Brooklyn</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New York, NY</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76 sq. ft.</w:t>
            </w:r>
          </w:p>
        </w:tc>
        <w:tc>
          <w:tcPr>
            <w:tcW w:w="1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11801 Industry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Jacksonville, FL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 sq. ft.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125 Fisher Street</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8"/>
              </w:rPr>
              <w:t>Worcester, MA</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199 sq. ft.</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Sun Sentinel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Miami, FL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2026</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 sq. ft.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Shoemaker</w:t>
            </w: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Los Angeles, CA</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2026</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521 sq. ft.</w:t>
            </w:r>
          </w:p>
        </w:tc>
        <w:tc>
          <w:tcPr>
            <w:tcW w:w="1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FF0FC"/>
            </w:tcBorders>
          </w:tcPr>
          <w:p>
            <w:pPr>
              <w:spacing w:after="0"/>
              <w:rPr>
                <w:sz w:val="20"/>
                <w:szCs w:val="20"/>
                <w:color w:val="auto"/>
              </w:rPr>
            </w:pPr>
          </w:p>
        </w:tc>
        <w:tc>
          <w:tcPr>
            <w:tcW w:w="24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other industrial</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Borders>
              <w:bottom w:val="single" w:sz="8" w:color="CFF0FC"/>
            </w:tcBorders>
          </w:tcPr>
          <w:p>
            <w:pPr>
              <w:spacing w:after="0"/>
              <w:rPr>
                <w:sz w:val="20"/>
                <w:szCs w:val="20"/>
                <w:color w:val="auto"/>
              </w:rPr>
            </w:pPr>
          </w:p>
        </w:tc>
        <w:tc>
          <w:tcPr>
            <w:tcW w:w="16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2,768 sq. ft.</w:t>
            </w:r>
          </w:p>
        </w:tc>
        <w:tc>
          <w:tcPr>
            <w:tcW w:w="100" w:type="dxa"/>
            <w:vAlign w:val="bottom"/>
            <w:tcBorders>
              <w:bottom w:val="single" w:sz="8" w:color="CFF0FC"/>
            </w:tcBorders>
          </w:tcPr>
          <w:p>
            <w:pPr>
              <w:spacing w:after="0"/>
              <w:rPr>
                <w:sz w:val="20"/>
                <w:szCs w:val="20"/>
                <w:color w:val="auto"/>
              </w:rPr>
            </w:pPr>
          </w:p>
        </w:tc>
        <w:tc>
          <w:tcPr>
            <w:tcW w:w="14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CFF0FC"/>
            </w:tcBorders>
            <w:shd w:val="clear" w:color="auto" w:fill="CFF0FC"/>
          </w:tcPr>
          <w:p>
            <w:pPr>
              <w:spacing w:after="0"/>
              <w:rPr>
                <w:sz w:val="22"/>
                <w:szCs w:val="22"/>
                <w:color w:val="auto"/>
              </w:rPr>
            </w:pPr>
          </w:p>
        </w:tc>
        <w:tc>
          <w:tcPr>
            <w:tcW w:w="24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industrial</w:t>
            </w: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6,476 sq. ft.</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2400" w:type="dxa"/>
            <w:vAlign w:val="bottom"/>
            <w:tcBorders>
              <w:top w:val="single" w:sz="8" w:color="CFF0FC"/>
              <w:bottom w:val="single" w:sz="8" w:color="CFF0FC"/>
            </w:tcBorders>
            <w:gridSpan w:val="3"/>
            <w:vMerge w:val="restart"/>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Retail:</w:t>
            </w: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Shops at Grand Avenue</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New York, NY</w:t>
            </w:r>
          </w:p>
        </w:tc>
        <w:tc>
          <w:tcPr>
            <w:tcW w:w="14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May 2024</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 sq. ft.</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Stablewood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color w:val="auto"/>
                <w:w w:val="90"/>
              </w:rPr>
              <w:t>Various</w:t>
            </w:r>
            <w:r>
              <w:rPr>
                <w:rFonts w:ascii="Times New Roman" w:cs="Times New Roman" w:eastAsia="Times New Roman" w:hAnsi="Times New Roman"/>
                <w:sz w:val="23"/>
                <w:szCs w:val="23"/>
                <w:color w:val="auto"/>
                <w:w w:val="90"/>
                <w:vertAlign w:val="superscript"/>
              </w:rPr>
              <w:t>(9)</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Shoppes at Heron Lakes</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Miami, FL</w:t>
            </w:r>
          </w:p>
        </w:tc>
        <w:tc>
          <w:tcPr>
            <w:tcW w:w="140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November 2025</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136 sq. ft.</w:t>
            </w:r>
          </w:p>
        </w:tc>
        <w:tc>
          <w:tcPr>
            <w:tcW w:w="15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tcPr>
          <w:p>
            <w:pPr>
              <w:spacing w:after="0"/>
              <w:rPr>
                <w:sz w:val="21"/>
                <w:szCs w:val="21"/>
                <w:color w:val="auto"/>
              </w:rPr>
            </w:pPr>
          </w:p>
        </w:tc>
        <w:tc>
          <w:tcPr>
            <w:tcW w:w="24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Southlake Marketplace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1740" w:type="dxa"/>
            <w:vAlign w:val="bottom"/>
            <w:tcBorders>
              <w:bottom w:val="single" w:sz="8" w:color="CFF0FC"/>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Dallas, TX</w:t>
            </w:r>
          </w:p>
        </w:tc>
        <w:tc>
          <w:tcPr>
            <w:tcW w:w="1400" w:type="dxa"/>
            <w:vAlign w:val="bottom"/>
            <w:tcBorders>
              <w:bottom w:val="single" w:sz="8" w:color="CFF0FC"/>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2026</w:t>
            </w:r>
          </w:p>
        </w:tc>
        <w:tc>
          <w:tcPr>
            <w:tcW w:w="12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132 sq. ft.</w:t>
            </w:r>
          </w:p>
        </w:tc>
        <w:tc>
          <w:tcPr>
            <w:tcW w:w="1500" w:type="dxa"/>
            <w:vAlign w:val="bottom"/>
            <w:tcBorders>
              <w:bottom w:val="single" w:sz="8" w:color="CFF0FC"/>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99%</w:t>
            </w:r>
          </w:p>
        </w:tc>
        <w:tc>
          <w:tcPr>
            <w:tcW w:w="0" w:type="dxa"/>
            <w:vAlign w:val="bottom"/>
          </w:tcPr>
          <w:p>
            <w:pPr>
              <w:spacing w:after="0"/>
              <w:rPr>
                <w:sz w:val="1"/>
                <w:szCs w:val="1"/>
                <w:color w:val="auto"/>
              </w:rPr>
            </w:pPr>
          </w:p>
        </w:tc>
      </w:tr>
      <w:tr>
        <w:trPr>
          <w:trHeight w:val="262"/>
        </w:trPr>
        <w:tc>
          <w:tcPr>
            <w:tcW w:w="20" w:type="dxa"/>
            <w:vAlign w:val="bottom"/>
            <w:tcBorders>
              <w:bottom w:val="single" w:sz="8" w:color="CFF0FC"/>
            </w:tcBorders>
            <w:shd w:val="clear" w:color="auto" w:fill="CFF0FC"/>
          </w:tcPr>
          <w:p>
            <w:pPr>
              <w:spacing w:after="0"/>
              <w:rPr>
                <w:sz w:val="22"/>
                <w:szCs w:val="22"/>
                <w:color w:val="auto"/>
              </w:rPr>
            </w:pPr>
          </w:p>
        </w:tc>
        <w:tc>
          <w:tcPr>
            <w:tcW w:w="24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368 sq. ft.</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2400" w:type="dxa"/>
            <w:vAlign w:val="bottom"/>
            <w:tcBorders>
              <w:top w:val="single" w:sz="8" w:color="CFF0FC"/>
              <w:bottom w:val="single" w:sz="8" w:color="CFF0FC"/>
            </w:tcBorders>
            <w:gridSpan w:val="3"/>
            <w:vMerge w:val="restart"/>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Office:</w:t>
            </w: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Edge portfolio</w:t>
            </w: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rPr>
              <w:t>Boston, MA</w:t>
            </w:r>
          </w:p>
        </w:tc>
        <w:tc>
          <w:tcPr>
            <w:tcW w:w="1400" w:type="dxa"/>
            <w:vAlign w:val="bottom"/>
            <w:gridSpan w:val="2"/>
            <w:shd w:val="clear" w:color="auto" w:fill="CFF0FC"/>
          </w:tcPr>
          <w:p>
            <w:pPr>
              <w:jc w:val="center"/>
              <w:ind w:right="40"/>
              <w:spacing w:after="0"/>
              <w:rPr>
                <w:sz w:val="20"/>
                <w:szCs w:val="20"/>
                <w:color w:val="auto"/>
              </w:rPr>
            </w:pPr>
            <w:r>
              <w:rPr>
                <w:rFonts w:ascii="Times New Roman" w:cs="Times New Roman" w:eastAsia="Times New Roman" w:hAnsi="Times New Roman"/>
                <w:sz w:val="18"/>
                <w:szCs w:val="18"/>
                <w:color w:val="auto"/>
                <w:w w:val="97"/>
              </w:rPr>
              <w:t>June 2026</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100" w:type="dxa"/>
            <w:vAlign w:val="bottom"/>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958 sq. ft.</w:t>
            </w:r>
          </w:p>
        </w:tc>
        <w:tc>
          <w:tcPr>
            <w:tcW w:w="15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office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958 sq. ft.</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-2579370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-2579370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Refers to the metropolitan statistical area.</w:t>
      </w:r>
    </w:p>
    <w:p>
      <w:pPr>
        <w:spacing w:after="0" w:line="4" w:lineRule="exact"/>
        <w:rPr>
          <w:rFonts w:ascii="Times New Roman" w:cs="Times New Roman" w:eastAsia="Times New Roman" w:hAnsi="Times New Roman"/>
          <w:sz w:val="19"/>
          <w:szCs w:val="19"/>
          <w:color w:val="auto"/>
          <w:vertAlign w:val="superscript"/>
        </w:rPr>
      </w:pPr>
    </w:p>
    <w:p>
      <w:pPr>
        <w:ind w:left="180" w:right="80" w:hanging="172"/>
        <w:spacing w:after="0"/>
        <w:tabs>
          <w:tab w:leader="none" w:pos="168"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of the joint venture agreements entered into by us provide the other partner a profits interest based on certain internal rate of return hurdles being achieved.</w:t>
      </w:r>
    </w:p>
    <w:p>
      <w:pPr>
        <w:spacing w:after="0" w:line="186" w:lineRule="exact"/>
        <w:rPr>
          <w:rFonts w:ascii="Times New Roman" w:cs="Times New Roman" w:eastAsia="Times New Roman" w:hAnsi="Times New Roman"/>
          <w:sz w:val="20"/>
          <w:szCs w:val="20"/>
          <w:color w:val="auto"/>
          <w:vertAlign w:val="superscript"/>
        </w:rPr>
      </w:pPr>
    </w:p>
    <w:p>
      <w:pPr>
        <w:ind w:left="160" w:hanging="152"/>
        <w:spacing w:after="0" w:line="224"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properties under development related to one of our retail investments.</w:t>
      </w:r>
    </w:p>
    <w:p>
      <w:pPr>
        <w:ind w:left="180" w:right="60" w:hanging="172"/>
        <w:spacing w:after="0" w:line="257" w:lineRule="auto"/>
        <w:tabs>
          <w:tab w:leader="none" w:pos="168"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Reflects real estate operating property investments only. Occupancy for our multifamily properties is measured monthly by dividing property market rent for occupied units by the gross market rent potential of all units. Gross market rent potential is the average monthly market rent of all units at the property. For our retail, office and industrial investments,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spacing w:after="0" w:line="3" w:lineRule="exact"/>
        <w:rPr>
          <w:rFonts w:ascii="Times New Roman" w:cs="Times New Roman" w:eastAsia="Times New Roman" w:hAnsi="Times New Roman"/>
          <w:sz w:val="20"/>
          <w:szCs w:val="20"/>
          <w:color w:val="auto"/>
          <w:vertAlign w:val="superscript"/>
        </w:rPr>
      </w:pPr>
    </w:p>
    <w:p>
      <w:pPr>
        <w:ind w:left="160" w:hanging="152"/>
        <w:spacing w:after="0" w:line="224"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126 townhomes that are presented as a single property in the number of properties.</w:t>
      </w:r>
    </w:p>
    <w:p>
      <w:pPr>
        <w:ind w:left="180" w:right="140" w:hanging="172"/>
        <w:spacing w:after="0" w:line="241" w:lineRule="auto"/>
        <w:tabs>
          <w:tab w:leader="none" w:pos="168"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five properties located in Illinois, three properties located in New Jersey, two properties in each of Pennsylvania, New York and Wisconsin and one property in each of California, Connecticut and Washington.</w:t>
      </w:r>
    </w:p>
    <w:p>
      <w:pPr>
        <w:spacing w:after="0" w:line="1" w:lineRule="exact"/>
        <w:rPr>
          <w:rFonts w:ascii="Times New Roman" w:cs="Times New Roman" w:eastAsia="Times New Roman" w:hAnsi="Times New Roman"/>
          <w:sz w:val="20"/>
          <w:szCs w:val="20"/>
          <w:color w:val="auto"/>
          <w:vertAlign w:val="superscript"/>
        </w:rPr>
      </w:pPr>
    </w:p>
    <w:p>
      <w:pPr>
        <w:ind w:left="160" w:hanging="152"/>
        <w:spacing w:after="0" w:line="224"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one property located in Tampa, Florida and one located in Pinellas Park, Florida.</w:t>
      </w:r>
    </w:p>
    <w:p>
      <w:pPr>
        <w:ind w:left="160" w:hanging="152"/>
        <w:spacing w:after="0" w:line="222"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six properties located in Norfolk, Virginia and one located in Rockledge, Florida.</w:t>
      </w:r>
    </w:p>
    <w:p>
      <w:pPr>
        <w:ind w:left="160" w:hanging="152"/>
        <w:spacing w:after="0" w:line="235"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three retail developments including one in Holland, Michigan, one in Greeley, Colorado and one in Oklahoma City, Oklahoma.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expirations</w:t>
      </w:r>
    </w:p>
    <w:p>
      <w:pPr>
        <w:spacing w:after="0" w:line="106"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18"/>
          <w:szCs w:val="18"/>
          <w:color w:val="auto"/>
        </w:rPr>
        <w:t>The following table details the expiring operating leases at our retail and industrial properties by annualized base rent as of September 30, 2026 ($ in thousands). The table below excludes our multifamily and single-family rental properties as substantially all leases at such properties expire within 12 months: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Expiring</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184"/>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 w:type="dxa"/>
            <w:vAlign w:val="bottom"/>
            <w:vMerge w:val="restart"/>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Annualized Rent</w:t>
            </w:r>
            <w:r>
              <w:rPr>
                <w:rFonts w:ascii="Times New Roman" w:cs="Times New Roman" w:eastAsia="Times New Roman" w:hAnsi="Times New Roman"/>
                <w:sz w:val="23"/>
                <w:szCs w:val="23"/>
                <w:b w:val="1"/>
                <w:bCs w:val="1"/>
                <w:color w:val="auto"/>
                <w:w w:val="96"/>
                <w:vertAlign w:val="superscript"/>
              </w:rPr>
              <w:t>(1)</w:t>
            </w:r>
          </w:p>
        </w:tc>
        <w:tc>
          <w:tcPr>
            <w:tcW w:w="100" w:type="dxa"/>
            <w:vAlign w:val="bottom"/>
            <w:vMerge w:val="restart"/>
          </w:tcPr>
          <w:p>
            <w:pPr>
              <w:spacing w:after="0"/>
              <w:rPr>
                <w:sz w:val="16"/>
                <w:szCs w:val="16"/>
                <w:color w:val="auto"/>
              </w:rPr>
            </w:pP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Annualized Rent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Expiring</w:t>
            </w:r>
          </w:p>
        </w:tc>
        <w:tc>
          <w:tcPr>
            <w:tcW w:w="0" w:type="dxa"/>
            <w:vAlign w:val="bottom"/>
          </w:tcPr>
          <w:p>
            <w:pPr>
              <w:spacing w:after="0"/>
              <w:rPr>
                <w:sz w:val="1"/>
                <w:szCs w:val="1"/>
                <w:color w:val="auto"/>
              </w:rPr>
            </w:pPr>
          </w:p>
        </w:tc>
      </w:tr>
      <w:tr>
        <w:trPr>
          <w:trHeight w:val="236"/>
        </w:trPr>
        <w:tc>
          <w:tcPr>
            <w:tcW w:w="5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66,107</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annualized base rent as of September 30, 2026 and excludes tenant recoveries.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real estate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investments in real estate debt as of September 30, 2026 and December 31, 2025 ($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1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3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 Debt</w:t>
            </w:r>
          </w:p>
        </w:tc>
        <w:tc>
          <w:tcPr>
            <w:tcW w:w="100" w:type="dxa"/>
            <w:vAlign w:val="bottom"/>
            <w:vMerge w:val="restart"/>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3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vMerge w:val="restart"/>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vMerge w:val="restart"/>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80" w:type="dxa"/>
            <w:vAlign w:val="bottom"/>
            <w:vMerge w:val="restart"/>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Rating</w:t>
            </w:r>
          </w:p>
        </w:tc>
        <w:tc>
          <w:tcPr>
            <w:tcW w:w="1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Coupon</w:t>
            </w:r>
          </w:p>
        </w:tc>
        <w:tc>
          <w:tcPr>
            <w:tcW w:w="10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FF0FC"/>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0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Commercial mortgage</w:t>
            </w:r>
          </w:p>
        </w:tc>
        <w:tc>
          <w:tcPr>
            <w:tcW w:w="10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6"/>
                <w:szCs w:val="16"/>
                <w:color w:val="auto"/>
              </w:rPr>
            </w:pPr>
          </w:p>
        </w:tc>
        <w:tc>
          <w:tcPr>
            <w:tcW w:w="108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Not Rated</w:t>
            </w:r>
          </w:p>
        </w:tc>
        <w:tc>
          <w:tcPr>
            <w:tcW w:w="1300" w:type="dxa"/>
            <w:vAlign w:val="bottom"/>
            <w:gridSpan w:val="2"/>
            <w:shd w:val="clear" w:color="auto" w:fill="CFF0FC"/>
          </w:tcPr>
          <w:p>
            <w:pPr>
              <w:jc w:val="center"/>
              <w:ind w:right="100"/>
              <w:spacing w:after="0" w:line="191" w:lineRule="exact"/>
              <w:rPr>
                <w:sz w:val="20"/>
                <w:szCs w:val="20"/>
                <w:color w:val="auto"/>
              </w:rPr>
            </w:pPr>
            <w:r>
              <w:rPr>
                <w:rFonts w:ascii="Times New Roman" w:cs="Times New Roman" w:eastAsia="Times New Roman" w:hAnsi="Times New Roman"/>
                <w:sz w:val="17"/>
                <w:szCs w:val="17"/>
                <w:color w:val="auto"/>
                <w:w w:val="97"/>
              </w:rPr>
              <w:t>SOFR</w:t>
            </w:r>
            <w:r>
              <w:rPr>
                <w:rFonts w:ascii="Times New Roman" w:cs="Times New Roman" w:eastAsia="Times New Roman" w:hAnsi="Times New Roman"/>
                <w:sz w:val="22"/>
                <w:szCs w:val="22"/>
                <w:color w:val="auto"/>
                <w:w w:val="97"/>
                <w:vertAlign w:val="superscript"/>
              </w:rPr>
              <w:t>(1)</w:t>
            </w:r>
            <w:r>
              <w:rPr>
                <w:rFonts w:ascii="Times New Roman" w:cs="Times New Roman" w:eastAsia="Times New Roman" w:hAnsi="Times New Roman"/>
                <w:sz w:val="17"/>
                <w:szCs w:val="17"/>
                <w:color w:val="auto"/>
                <w:w w:val="97"/>
              </w:rPr>
              <w:t xml:space="preserve"> +</w:t>
            </w:r>
          </w:p>
        </w:tc>
        <w:tc>
          <w:tcPr>
            <w:tcW w:w="1300" w:type="dxa"/>
            <w:vAlign w:val="bottom"/>
            <w:gridSpan w:val="2"/>
            <w:vMerge w:val="restart"/>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16, 2028</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358,600</w:t>
            </w:r>
          </w:p>
        </w:tc>
        <w:tc>
          <w:tcPr>
            <w:tcW w:w="10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358,542</w:t>
            </w:r>
          </w:p>
        </w:tc>
        <w:tc>
          <w:tcPr>
            <w:tcW w:w="10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224,600</w:t>
            </w:r>
          </w:p>
        </w:tc>
        <w:tc>
          <w:tcPr>
            <w:tcW w:w="8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224,600</w:t>
            </w:r>
          </w:p>
        </w:tc>
        <w:tc>
          <w:tcPr>
            <w:tcW w:w="0" w:type="dxa"/>
            <w:vAlign w:val="bottom"/>
          </w:tcPr>
          <w:p>
            <w:pPr>
              <w:spacing w:after="0"/>
              <w:rPr>
                <w:sz w:val="1"/>
                <w:szCs w:val="1"/>
                <w:color w:val="auto"/>
              </w:rPr>
            </w:pPr>
          </w:p>
        </w:tc>
      </w:tr>
      <w:tr>
        <w:trPr>
          <w:trHeight w:val="140"/>
        </w:trPr>
        <w:tc>
          <w:tcPr>
            <w:tcW w:w="210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0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vMerge w:val="continue"/>
            <w:shd w:val="clear" w:color="auto" w:fill="CFF0FC"/>
          </w:tcPr>
          <w:p>
            <w:pPr>
              <w:spacing w:after="0"/>
              <w:rPr>
                <w:sz w:val="12"/>
                <w:szCs w:val="12"/>
                <w:color w:val="auto"/>
              </w:rPr>
            </w:pPr>
          </w:p>
        </w:tc>
        <w:tc>
          <w:tcPr>
            <w:tcW w:w="12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2"/>
                <w:szCs w:val="12"/>
                <w:color w:val="auto"/>
              </w:rPr>
            </w:pPr>
          </w:p>
        </w:tc>
        <w:tc>
          <w:tcPr>
            <w:tcW w:w="1300" w:type="dxa"/>
            <w:vAlign w:val="bottom"/>
            <w:gridSpan w:val="2"/>
            <w:vMerge w:val="continue"/>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00" w:type="dxa"/>
            <w:vAlign w:val="bottom"/>
            <w:gridSpan w:val="2"/>
            <w:vMerge w:val="continue"/>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-282575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-282575</wp:posOffset>
            </wp:positionV>
            <wp:extent cx="596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-282575</wp:posOffset>
            </wp:positionV>
            <wp:extent cx="59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56"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“SOFR” refers to the Secured Overnight Financing Rate as of September 30,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real estate-related and other securities</w:t>
      </w:r>
    </w:p>
    <w:p>
      <w:pPr>
        <w:spacing w:after="0" w:line="10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investments in real estate-related and other securities as of September 30, 2026 and December 31, 2025 ($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Estate-Related</w:t>
            </w: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220" w:type="dxa"/>
            <w:vAlign w:val="bottom"/>
          </w:tcPr>
          <w:p>
            <w:pPr>
              <w:spacing w:after="0"/>
              <w:rPr>
                <w:sz w:val="14"/>
                <w:szCs w:val="14"/>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40" w:type="dxa"/>
            <w:vAlign w:val="bottom"/>
          </w:tcPr>
          <w:p>
            <w:pPr>
              <w:spacing w:after="0"/>
              <w:rPr>
                <w:sz w:val="14"/>
                <w:szCs w:val="14"/>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220" w:type="dxa"/>
            <w:vAlign w:val="bottom"/>
          </w:tcPr>
          <w:p>
            <w:pPr>
              <w:spacing w:after="0"/>
              <w:rPr>
                <w:sz w:val="14"/>
                <w:szCs w:val="14"/>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14"/>
                <w:szCs w:val="14"/>
                <w:color w:val="auto"/>
              </w:rPr>
            </w:pPr>
          </w:p>
        </w:tc>
        <w:tc>
          <w:tcPr>
            <w:tcW w:w="7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1820" w:type="dxa"/>
            <w:vAlign w:val="bottom"/>
            <w:gridSpan w:val="2"/>
            <w:vMerge w:val="continue"/>
          </w:tcPr>
          <w:p>
            <w:pPr>
              <w:spacing w:after="0"/>
              <w:rPr>
                <w:sz w:val="15"/>
                <w:szCs w:val="15"/>
                <w:color w:val="auto"/>
              </w:rPr>
            </w:pPr>
          </w:p>
        </w:tc>
        <w:tc>
          <w:tcPr>
            <w:tcW w:w="13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10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8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9"/>
        </w:trPr>
        <w:tc>
          <w:tcPr>
            <w:tcW w:w="1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CMBS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August 19, 2039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-162560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-162560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-162560</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tables set forth information regarding our consolidated results of operations ($ in thousands, except per share data):</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For the Three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For the 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September 30,</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Rental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0" w:type="dxa"/>
            <w:vAlign w:val="bottom"/>
          </w:tcPr>
          <w:p>
            <w:pPr>
              <w:spacing w:after="0"/>
              <w:rPr>
                <w:sz w:val="1"/>
                <w:szCs w:val="1"/>
                <w:color w:val="auto"/>
              </w:rPr>
            </w:pPr>
          </w:p>
        </w:tc>
      </w:tr>
      <w:tr>
        <w:trPr>
          <w:trHeight w:val="237"/>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w w:val="96"/>
              </w:rPr>
              <w:t>(Loss) income from investments in real estate-related and</w:t>
            </w:r>
          </w:p>
        </w:tc>
        <w:tc>
          <w:tcPr>
            <w:tcW w:w="2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149"/>
        </w:trPr>
        <w:tc>
          <w:tcPr>
            <w:tcW w:w="426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securities</w:t>
            </w: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6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Mandatorily redeemable instruments interest costs</w:t>
            </w:r>
          </w:p>
        </w:tc>
        <w:tc>
          <w:tcPr>
            <w:tcW w:w="2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w:t>
            </w:r>
          </w:p>
        </w:tc>
        <w:tc>
          <w:tcPr>
            <w:tcW w:w="0" w:type="dxa"/>
            <w:vAlign w:val="bottom"/>
          </w:tcPr>
          <w:p>
            <w:pPr>
              <w:spacing w:after="0"/>
              <w:rPr>
                <w:sz w:val="1"/>
                <w:szCs w:val="1"/>
                <w:color w:val="auto"/>
              </w:rPr>
            </w:pPr>
          </w:p>
        </w:tc>
      </w:tr>
      <w:tr>
        <w:trPr>
          <w:trHeight w:val="243"/>
        </w:trPr>
        <w:tc>
          <w:tcPr>
            <w:tcW w:w="4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(loss), net</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non-controlling interests in</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62"/>
        </w:trPr>
        <w:tc>
          <w:tcPr>
            <w:tcW w:w="4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joint ventures</w:t>
            </w: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60" w:type="dxa"/>
            <w:vAlign w:val="bottom"/>
            <w:gridSpan w:val="2"/>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Net income (loss) attributable to JPMREIT stockholders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 – diluted</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gridSpan w:val="2"/>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6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6"/>
              </w:rPr>
              <w:t>Weighted-average shares of common stock outstanding –</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0" w:type="dxa"/>
            <w:vAlign w:val="bottom"/>
          </w:tcPr>
          <w:p>
            <w:pPr>
              <w:spacing w:after="0"/>
              <w:rPr>
                <w:sz w:val="1"/>
                <w:szCs w:val="1"/>
                <w:color w:val="auto"/>
              </w:rPr>
            </w:pPr>
          </w:p>
        </w:tc>
      </w:tr>
      <w:tr>
        <w:trPr>
          <w:trHeight w:val="149"/>
        </w:trPr>
        <w:tc>
          <w:tcPr>
            <w:tcW w:w="4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260" w:type="dxa"/>
            <w:vAlign w:val="bottom"/>
            <w:tcBorders>
              <w:bottom w:val="single" w:sz="8" w:color="CCEEFF"/>
            </w:tcBorders>
            <w:gridSpan w:val="2"/>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Weighted-average shares of common stock outstanding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2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100,976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72,503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93,771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4260" w:type="dxa"/>
            <w:vAlign w:val="bottom"/>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revenue</w:t>
      </w:r>
    </w:p>
    <w:p>
      <w:pPr>
        <w:spacing w:after="0" w:line="11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Due to our acquisitions of real estate since September 30, 2025, our rental revenue for the three and nine months ended September 30, 2026 and September 30, 2025 is not comparable. Rental revenue primarily consists of base rent arising from tenant leases at our multifamily, single-family rental, industrial, office and retail properties. Rental revenue, aside from short-term leases generally less than one year in term, is recognized on a straight-line basis over the life of the lease, including any fixed and measurable rent escalations and abatements.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property operating expenses</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Rental property operating expenses consist of the costs of ownership and operation of our real estate investments. Examples of rental property operating expenses include insurance, utilities, real estate taxes and repair and maintenance expenses. Due to our acquisitions of real estate since September 30, 2025, our rental property operating expenses for the three and nine months ended September 30, 2026 and September 30, 2025 are not comparable.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0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Depreciation and amortization expenses are impacted by the fair values assigned to buildings, personal property and in-place lease assets as part of the initial purchase price allocation. During the three and nine months ended September 30, 2026, depreciation and amortization expenses increased by $2.2 million and $18.6 million, respectively, in comparison to the corresponding periods in 2025 due to our acquisitions of real estate since September 30,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investments in real estate debt</w:t>
      </w:r>
    </w:p>
    <w:p>
      <w:pPr>
        <w:spacing w:after="0" w:line="119"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2026, income from investments in real estate debt increased by $3.8 million and $10.2 million, respectively, in comparison to the corresponding periods in 2025 primarily due to the $240.5 million of real estate debt originated since September 30, 2025, partially offset by $16.8 million of repayments.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investments in real estate-related and other securities</w:t>
      </w:r>
    </w:p>
    <w:p>
      <w:pPr>
        <w:spacing w:after="0" w:line="10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During the three and nine months ended September 30, 2026, income from investments in real estate-related and other securities decreased by $0.4 million and $2.4 million, respectively, in comparison to the corresponding periods in 2025. For the three months ended September 30, 2026, the decrease was primarily due to a decrease in interest income of $0.1 million and an increase in unrealized loss of $0.2 million. For the nine months ended September 30, 2026, the decrease was due to a decrease in interest income of $1.0 million, an increase in unrealized loss of $0.9 million and a decrease in realized gain of $0.5 million.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Mandatorily redeemable instruments interest costs</w:t>
      </w:r>
    </w:p>
    <w:p>
      <w:pPr>
        <w:spacing w:after="0" w:line="1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mandatorily redeemable instruments interest costs decreased by $2.0 million and $4.2 million, respectively, in comparison to the corresponding periods in 2025 as a result of the mandatorily redeemable instruments being fully redeemed in May 2026.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2026, interest expense increased by $6.1 million and $18.6 million, respectively, in comparison to the corresponding periods in 2025. Interest expense consists of interest expense incurred on our mortgage notes, Repurchase Facility and the Credit Facility. The change in interest expense was primarily attributable to an increase in interest expense relating to our new mortgage notes and an increase in borrowings under the Repurchase Facility and the Credit Facility since September 30,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other income, net increased by $3.1 million and decreased by $0.4 million, respectively, in comparison to the corresponding periods in 2025.</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the increase was primarily due to a $2.3 million increase in unrealized gains on derivatives instruments and an increase of $0.7 million in interest income from sales-type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and Adjusted Funds from Operations</w:t>
      </w:r>
    </w:p>
    <w:p>
      <w:pPr>
        <w:spacing w:after="0" w:line="10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believe funds from operations (“FFO”) is a meaningful supplemental non-GAAP operating measure, which should be considered along with, but not as an alternative to, net income (loss) as a measure of operating performance. Our condensed consolidated financial statements are presented under historical cost accounting which, among other things, requires depreciation of real estate investments to be calculated on a straight-line basis. As a result, our operating results imply that the value of our real estate investments will decrease evenly over a set time period. However, we believe that the value of real estate investments will change over time based on market conditions and as such, depreciation under historical cost accounting may be less informative. FFO is a standard REIT industry measure defined by the National Association of Real Estate Investment Trusts (“Nareit”).</w:t>
      </w:r>
    </w:p>
    <w:p>
      <w:pPr>
        <w:spacing w:after="0" w:line="72"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FFO, as defined by Nareit and presented below, is calculated as net income or loss (computed in accordance with GAAP), excluding (i) depreciation and amortization, (ii) impairment of investments in real estate, (iii) net gains or losses from sales of real estate, (iv) net gains or losses from change in control, and (v) similar adjustments for non-controlling interests and unconsolidated entities.</w:t>
      </w:r>
    </w:p>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also believe that adjusted FFO (“AFFO”) is a meaningful supplemental non-GAAP disclosure of our operating results. AFFO further adjusts FFO in order for our operating results to reflect the specific characteristics of our business by adjusting for items we believe are not related to our core operations. Our adjustments to FFO to arrive at AFFO include removing the impact of (i) straight-line rental income and expense, (ii) amortization of above- and below-market lease intangibles, net, (iii) unrealized gains or losses in fair value of financial instruments, (iv) non-cash performance participation allocation,</w:t>
      </w:r>
    </w:p>
    <w:p>
      <w:pPr>
        <w:spacing w:after="0" w:line="3" w:lineRule="exact"/>
        <w:rPr>
          <w:sz w:val="20"/>
          <w:szCs w:val="20"/>
          <w:color w:val="auto"/>
        </w:rPr>
      </w:pPr>
    </w:p>
    <w:p>
      <w:pPr>
        <w:ind w:right="120" w:firstLine="8"/>
        <w:spacing w:after="0" w:line="24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costs, (vi) amortization of deferred financing costs, (vii) amortization of restricted stock awards, (viii) amortization of mortgage premium/discount, and (ix) similar adjustments for unconsolidated joint ventures. AFFO is not defined by Nareit and our calculation of AFFO may not be comparable to disclosures made by other REITs.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attributable to stockholders to FFO and AFFO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20" w:type="dxa"/>
            <w:vAlign w:val="bottom"/>
          </w:tcPr>
          <w:p>
            <w:pPr>
              <w:spacing w:after="0"/>
              <w:rPr>
                <w:sz w:val="17"/>
                <w:szCs w:val="17"/>
                <w:color w:val="auto"/>
              </w:rPr>
            </w:pPr>
          </w:p>
        </w:tc>
        <w:tc>
          <w:tcPr>
            <w:tcW w:w="26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JPMREIT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4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arrive at FFO:</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0" w:type="dxa"/>
            <w:vAlign w:val="bottom"/>
          </w:tcPr>
          <w:p>
            <w:pPr>
              <w:spacing w:after="0"/>
              <w:rPr>
                <w:sz w:val="1"/>
                <w:szCs w:val="1"/>
                <w:color w:val="auto"/>
              </w:rPr>
            </w:pP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from sale of real estate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 attributable to non-controlling interests for above</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attributable to stockholders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arrive at AFFO:</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Straight-line rental income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above-and below-market lease intangibles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fair value of financial instruments,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Participation Allocation</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stock based compensation awards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mortgage discount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 attributable to non-controlling interests for above</w:t>
            </w: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40"/>
        </w:trPr>
        <w:tc>
          <w:tcPr>
            <w:tcW w:w="54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440" w:type="dxa"/>
            <w:vAlign w:val="bottom"/>
            <w:vMerge w:val="continue"/>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 attributable to JPMREIT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primary needs for liquidity and capital resources are to fund our investments, to make distributions to our stockholders, to repurchase shares of our common stock pursuant to our share repurchase plan, to pay our offering and operating fees and expenses and to pay interest on any outstanding indebtedness we may incur. Our offering and operating fees and expenses include the management fee we pay to the Adviser, the performance participation allocation that the Operating Partnership pay to the Special Limited Partner, stockholder servicing fees we pay to the Dealer Manager, legal, audit, tax and valuation expenses, federal and state filing fees, printing expenses, administrative fees, transfer agent fees, marketing and distribution expenses and fees related to acquiring, financing, appraising and managing our properties. We do not have any office or personnel expenses as we do not have any employees.</w:t>
      </w:r>
    </w:p>
    <w:p>
      <w:pPr>
        <w:spacing w:after="0" w:line="74"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Over time, we generally intend to fund our cash needs for items other than asset acquisitions from operations. Our cash needs for acquisitions will be funded primarily from the sale of shares of our common stock, through the assumption or incurrence of secured or unsecured financings from banks or other lenders and from proceeds from the sales of assets. If necessary, we may use financings or other sources of capital in the event of unforeseen significant capital expenditures.</w:t>
      </w:r>
    </w:p>
    <w:p>
      <w:pPr>
        <w:spacing w:after="0" w:line="6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If we are unable to raise substantial funds, we will make fewer investments, resulting in less diversification in terms of the type, number and size of investments we make and the value of an investment in us will fluctuate with the performance of the specific assets we acquire. Further, we have certain fixed operating expenses, including certain expenses as a publicly offered REIT, regardless of whether we are able to raise substantial funds. Our inability to raise substantial funds would increase our fixed operating expenses as a percentage of gross income, reducing our net income and limiting our ability to make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auto"/>
                <w:w w:val="98"/>
              </w:rPr>
              <w:t>Capital resources</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is a summary of our indebtedness as of September 30, 2026 and December 31, 2025 ($ in thousands):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Principal Balance Outstanding</w:t>
            </w:r>
          </w:p>
        </w:tc>
        <w:tc>
          <w:tcPr>
            <w:tcW w:w="0" w:type="dxa"/>
            <w:vAlign w:val="bottom"/>
          </w:tcPr>
          <w:p>
            <w:pPr>
              <w:spacing w:after="0"/>
              <w:rPr>
                <w:sz w:val="1"/>
                <w:szCs w:val="1"/>
                <w:color w:val="auto"/>
              </w:rPr>
            </w:pPr>
          </w:p>
        </w:tc>
      </w:tr>
      <w:tr>
        <w:trPr>
          <w:trHeight w:val="183"/>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13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5"/>
                <w:szCs w:val="15"/>
                <w:color w:val="auto"/>
              </w:rPr>
            </w:pPr>
          </w:p>
        </w:tc>
        <w:tc>
          <w:tcPr>
            <w:tcW w:w="12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5"/>
                <w:szCs w:val="15"/>
                <w:color w:val="auto"/>
              </w:rPr>
            </w:pPr>
          </w:p>
        </w:tc>
        <w:tc>
          <w:tcPr>
            <w:tcW w:w="1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3"/>
        </w:trPr>
        <w:tc>
          <w:tcPr>
            <w:tcW w:w="3220" w:type="dxa"/>
            <w:vAlign w:val="bottom"/>
            <w:gridSpan w:val="2"/>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9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Facility Size</w:t>
            </w:r>
          </w:p>
        </w:tc>
        <w:tc>
          <w:tcPr>
            <w:tcW w:w="120" w:type="dxa"/>
            <w:vAlign w:val="bottom"/>
          </w:tcPr>
          <w:p>
            <w:pPr>
              <w:spacing w:after="0"/>
              <w:rPr>
                <w:sz w:val="21"/>
                <w:szCs w:val="21"/>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Fixed rate debt secured by our properties</w:t>
            </w:r>
          </w:p>
        </w:tc>
        <w:tc>
          <w:tcPr>
            <w:tcW w:w="1360" w:type="dxa"/>
            <w:vAlign w:val="bottom"/>
            <w:tcBorders>
              <w:top w:val="single" w:sz="8" w:color="auto"/>
            </w:tcBorders>
            <w:shd w:val="clear" w:color="auto" w:fill="CCEEFF"/>
          </w:tcPr>
          <w:p>
            <w:pPr>
              <w:spacing w:after="0"/>
              <w:rPr>
                <w:sz w:val="20"/>
                <w:szCs w:val="20"/>
                <w:color w:val="auto"/>
              </w:rPr>
            </w:pPr>
          </w:p>
        </w:tc>
        <w:tc>
          <w:tcPr>
            <w:tcW w:w="1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Caroline West Gray</w:t>
            </w: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5.44%</w:t>
            </w:r>
          </w:p>
        </w:tc>
        <w:tc>
          <w:tcPr>
            <w:tcW w:w="1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Caroline Post Oak</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5.44%</w:t>
            </w:r>
          </w:p>
        </w:tc>
        <w:tc>
          <w:tcPr>
            <w:tcW w:w="1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0" w:type="dxa"/>
            <w:vAlign w:val="bottom"/>
          </w:tcPr>
          <w:p>
            <w:pPr>
              <w:spacing w:after="0"/>
              <w:rPr>
                <w:sz w:val="1"/>
                <w:szCs w:val="1"/>
                <w:color w:val="auto"/>
              </w:rPr>
            </w:pPr>
          </w:p>
        </w:tc>
      </w:tr>
      <w:tr>
        <w:trPr>
          <w:trHeight w:val="243"/>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Coda on Centre</w:t>
            </w: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4.28%</w:t>
            </w:r>
          </w:p>
        </w:tc>
        <w:tc>
          <w:tcPr>
            <w:tcW w:w="1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May 1, 2029</w:t>
            </w:r>
          </w:p>
        </w:tc>
        <w:tc>
          <w:tcPr>
            <w:tcW w:w="1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27,860</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The Elmstead</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4.30%</w:t>
            </w:r>
          </w:p>
        </w:tc>
        <w:tc>
          <w:tcPr>
            <w:tcW w:w="1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April 1, 2031</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0" w:type="dxa"/>
            <w:vAlign w:val="bottom"/>
          </w:tcPr>
          <w:p>
            <w:pPr>
              <w:spacing w:after="0"/>
              <w:rPr>
                <w:sz w:val="1"/>
                <w:szCs w:val="1"/>
                <w:color w:val="auto"/>
              </w:rPr>
            </w:pPr>
          </w:p>
        </w:tc>
      </w:tr>
      <w:tr>
        <w:trPr>
          <w:trHeight w:val="243"/>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Bass Lofts</w:t>
            </w: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3.95%</w:t>
            </w:r>
          </w:p>
        </w:tc>
        <w:tc>
          <w:tcPr>
            <w:tcW w:w="1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September 5, 2027</w:t>
            </w:r>
          </w:p>
        </w:tc>
        <w:tc>
          <w:tcPr>
            <w:tcW w:w="1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One Brooklyn</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4.35%</w:t>
            </w:r>
          </w:p>
        </w:tc>
        <w:tc>
          <w:tcPr>
            <w:tcW w:w="1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July 1, 2028</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43"/>
        </w:trPr>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Charleston</w:t>
            </w: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5.08%</w:t>
            </w:r>
          </w:p>
        </w:tc>
        <w:tc>
          <w:tcPr>
            <w:tcW w:w="1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September 1, 2030</w:t>
            </w:r>
          </w:p>
        </w:tc>
        <w:tc>
          <w:tcPr>
            <w:tcW w:w="1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Baker Chocolate</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3.91%</w:t>
            </w:r>
          </w:p>
        </w:tc>
        <w:tc>
          <w:tcPr>
            <w:tcW w:w="19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1, 2028</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37"/>
        </w:trPr>
        <w:tc>
          <w:tcPr>
            <w:tcW w:w="3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fixed rate</w:t>
            </w:r>
          </w:p>
        </w:tc>
        <w:tc>
          <w:tcPr>
            <w:tcW w:w="1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240,274</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Variable rate debt secured by our properties</w:t>
            </w:r>
          </w:p>
        </w:tc>
        <w:tc>
          <w:tcPr>
            <w:tcW w:w="13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6200 Bristol</w:t>
            </w:r>
            <w:r>
              <w:rPr>
                <w:rFonts w:ascii="Times New Roman" w:cs="Times New Roman" w:eastAsia="Times New Roman" w:hAnsi="Times New Roman"/>
                <w:sz w:val="23"/>
                <w:szCs w:val="23"/>
                <w:color w:val="auto"/>
                <w:vertAlign w:val="superscript"/>
              </w:rPr>
              <w:t>(2)</w:t>
            </w: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SOFR + 2.05%</w:t>
            </w:r>
          </w:p>
        </w:tc>
        <w:tc>
          <w:tcPr>
            <w:tcW w:w="1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April 1, 2029</w:t>
            </w:r>
          </w:p>
        </w:tc>
        <w:tc>
          <w:tcPr>
            <w:tcW w:w="1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Norfolk Industrial Portfolio</w:t>
            </w:r>
            <w:r>
              <w:rPr>
                <w:rFonts w:ascii="Times New Roman" w:cs="Times New Roman" w:eastAsia="Times New Roman" w:hAnsi="Times New Roman"/>
                <w:sz w:val="23"/>
                <w:szCs w:val="23"/>
                <w:color w:val="auto"/>
                <w:vertAlign w:val="superscript"/>
              </w:rPr>
              <w:t>(3)</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SOFR + 1.75%</w:t>
            </w:r>
          </w:p>
        </w:tc>
        <w:tc>
          <w:tcPr>
            <w:tcW w:w="1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June 19, 2030</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243"/>
        </w:trPr>
        <w:tc>
          <w:tcPr>
            <w:tcW w:w="32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Preserve at Pine Valley</w:t>
            </w:r>
            <w:r>
              <w:rPr>
                <w:rFonts w:ascii="Times New Roman" w:cs="Times New Roman" w:eastAsia="Times New Roman" w:hAnsi="Times New Roman"/>
                <w:sz w:val="23"/>
                <w:szCs w:val="23"/>
                <w:color w:val="auto"/>
                <w:vertAlign w:val="superscript"/>
              </w:rPr>
              <w:t>(4)</w:t>
            </w: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SOFR + 1.50%</w:t>
            </w:r>
          </w:p>
        </w:tc>
        <w:tc>
          <w:tcPr>
            <w:tcW w:w="19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December 10, 2030</w:t>
            </w:r>
          </w:p>
        </w:tc>
        <w:tc>
          <w:tcPr>
            <w:tcW w:w="16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Vineyard Commons</w:t>
            </w:r>
            <w:r>
              <w:rPr>
                <w:rFonts w:ascii="Times New Roman" w:cs="Times New Roman" w:eastAsia="Times New Roman" w:hAnsi="Times New Roman"/>
                <w:sz w:val="23"/>
                <w:szCs w:val="23"/>
                <w:color w:val="auto"/>
                <w:vertAlign w:val="superscript"/>
              </w:rPr>
              <w:t>(5)</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SOFR + 1.40%</w:t>
            </w:r>
          </w:p>
        </w:tc>
        <w:tc>
          <w:tcPr>
            <w:tcW w:w="19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1, 2030</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Stablewood</w:t>
            </w:r>
          </w:p>
        </w:tc>
        <w:tc>
          <w:tcPr>
            <w:tcW w:w="136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color w:val="auto"/>
              </w:rPr>
              <w:t>SOFR + 3.75%</w:t>
            </w:r>
          </w:p>
        </w:tc>
        <w:tc>
          <w:tcPr>
            <w:tcW w:w="1960" w:type="dxa"/>
            <w:vAlign w:val="bottom"/>
            <w:tcBorders>
              <w:bottom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August 8, 2028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37"/>
        </w:trPr>
        <w:tc>
          <w:tcPr>
            <w:tcW w:w="3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variable rate</w:t>
            </w:r>
          </w:p>
        </w:tc>
        <w:tc>
          <w:tcPr>
            <w:tcW w:w="13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133,044</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125,367</w:t>
            </w:r>
          </w:p>
        </w:tc>
        <w:tc>
          <w:tcPr>
            <w:tcW w:w="0" w:type="dxa"/>
            <w:vAlign w:val="bottom"/>
          </w:tcPr>
          <w:p>
            <w:pPr>
              <w:spacing w:after="0"/>
              <w:rPr>
                <w:sz w:val="1"/>
                <w:szCs w:val="1"/>
                <w:color w:val="auto"/>
              </w:rPr>
            </w:pPr>
          </w:p>
        </w:tc>
      </w:tr>
      <w:tr>
        <w:trPr>
          <w:trHeight w:val="270"/>
        </w:trPr>
        <w:tc>
          <w:tcPr>
            <w:tcW w:w="3220" w:type="dxa"/>
            <w:vAlign w:val="bottom"/>
            <w:tcBorders>
              <w:bottom w:val="single" w:sz="8" w:color="CCEEFF"/>
            </w:tcBorders>
            <w:gridSpan w:val="2"/>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secured by real estate</w:t>
            </w:r>
          </w:p>
        </w:tc>
        <w:tc>
          <w:tcPr>
            <w:tcW w:w="13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372,471</w:t>
            </w: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365,641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Facility</w:t>
            </w:r>
          </w:p>
        </w:tc>
        <w:tc>
          <w:tcPr>
            <w:tcW w:w="1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SOFR + 1.52%</w:t>
            </w:r>
          </w:p>
        </w:tc>
        <w:tc>
          <w:tcPr>
            <w:tcW w:w="1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August 22,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268,950</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168,450</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360" w:type="dxa"/>
            <w:vAlign w:val="bottom"/>
            <w:tcBorders>
              <w:bottom w:val="single" w:sz="8" w:color="CCEEFF"/>
            </w:tcBorders>
          </w:tcPr>
          <w:p>
            <w:pPr>
              <w:jc w:val="center"/>
              <w:ind w:right="150"/>
              <w:spacing w:after="0"/>
              <w:rPr>
                <w:sz w:val="20"/>
                <w:szCs w:val="20"/>
                <w:color w:val="auto"/>
              </w:rPr>
            </w:pPr>
            <w:r>
              <w:rPr>
                <w:rFonts w:ascii="Times New Roman" w:cs="Times New Roman" w:eastAsia="Times New Roman" w:hAnsi="Times New Roman"/>
                <w:sz w:val="18"/>
                <w:szCs w:val="18"/>
                <w:color w:val="auto"/>
              </w:rPr>
              <w:t>SOFR + 1.40%</w:t>
            </w:r>
          </w:p>
        </w:tc>
        <w:tc>
          <w:tcPr>
            <w:tcW w:w="1960" w:type="dxa"/>
            <w:vAlign w:val="bottom"/>
            <w:tcBorders>
              <w:bottom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July 15, 2028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305,500</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62"/>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indebtedness</w:t>
            </w:r>
          </w:p>
        </w:tc>
        <w:tc>
          <w:tcPr>
            <w:tcW w:w="13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607,091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-3676650</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-3676650</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-3676650</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3"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loan is comprised of a senior and mezzanine loan. The interest rate and maturity date presented are the weighted average.</w:t>
      </w:r>
    </w:p>
    <w:p>
      <w:pPr>
        <w:spacing w:after="0" w:line="17" w:lineRule="exact"/>
        <w:rPr>
          <w:rFonts w:ascii="Times New Roman" w:cs="Times New Roman" w:eastAsia="Times New Roman" w:hAnsi="Times New Roman"/>
          <w:sz w:val="19"/>
          <w:szCs w:val="19"/>
          <w:color w:val="auto"/>
          <w:vertAlign w:val="superscript"/>
        </w:rPr>
      </w:pPr>
    </w:p>
    <w:p>
      <w:pPr>
        <w:ind w:left="160" w:hanging="152"/>
        <w:spacing w:after="0" w:line="222" w:lineRule="auto"/>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entered into an interest rate swap that was not designated as a hedge, which fixed the rate at 6.26%.</w:t>
      </w:r>
    </w:p>
    <w:p>
      <w:pPr>
        <w:ind w:left="180" w:right="420" w:hanging="172"/>
        <w:spacing w:after="0"/>
        <w:tabs>
          <w:tab w:leader="none" w:pos="168"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entered into an interest rate swap that was not designated as a hedge, which fixed the rate at 5.41% on $43.7 million of the outstanding principal amount.</w:t>
      </w:r>
    </w:p>
    <w:p>
      <w:pPr>
        <w:spacing w:after="0" w:line="186" w:lineRule="exact"/>
        <w:rPr>
          <w:rFonts w:ascii="Times New Roman" w:cs="Times New Roman" w:eastAsia="Times New Roman" w:hAnsi="Times New Roman"/>
          <w:sz w:val="20"/>
          <w:szCs w:val="20"/>
          <w:color w:val="auto"/>
          <w:vertAlign w:val="superscript"/>
        </w:rPr>
      </w:pPr>
    </w:p>
    <w:p>
      <w:pPr>
        <w:ind w:left="160" w:hanging="152"/>
        <w:spacing w:after="0" w:line="224" w:lineRule="auto"/>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entered into an interest rate swap that was not designated as a hedge, which fixed the rate at 4.90%.</w:t>
      </w:r>
    </w:p>
    <w:p>
      <w:pPr>
        <w:ind w:left="160" w:hanging="152"/>
        <w:spacing w:after="0" w:line="235" w:lineRule="auto"/>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entered into an interest rate swap that was not designated as a hedge, which fixed the rate at 4.88%.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net change in our cash and cash equivalents and restricted cash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Pr>
          <w:p>
            <w:pPr>
              <w:spacing w:after="0"/>
              <w:rPr>
                <w:sz w:val="15"/>
                <w:szCs w:val="15"/>
                <w:color w:val="auto"/>
              </w:rPr>
            </w:pPr>
          </w:p>
        </w:tc>
        <w:tc>
          <w:tcPr>
            <w:tcW w:w="11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tcPr>
          <w:p>
            <w:pPr>
              <w:spacing w:after="0"/>
              <w:rPr>
                <w:sz w:val="21"/>
                <w:szCs w:val="21"/>
                <w:color w:val="auto"/>
              </w:rPr>
            </w:pPr>
          </w:p>
        </w:tc>
        <w:tc>
          <w:tcPr>
            <w:tcW w:w="18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233,286</w:t>
            </w:r>
          </w:p>
        </w:tc>
        <w:tc>
          <w:tcPr>
            <w:tcW w:w="0" w:type="dxa"/>
            <w:vAlign w:val="bottom"/>
          </w:tcPr>
          <w:p>
            <w:pPr>
              <w:spacing w:after="0"/>
              <w:rPr>
                <w:sz w:val="1"/>
                <w:szCs w:val="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481,466</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617,504</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(136,038)</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114,590</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8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-1328420</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-1328420</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increased by $17.3 million for the nine months ended September 30, 2026 compared to the corresponding period in 2025 primarily due to an increase in cash flows from operations from our investments in real estate as a result of growth in the size of our portfolio.</w:t>
      </w:r>
    </w:p>
    <w:p>
      <w:pPr>
        <w:spacing w:after="0" w:line="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Cash flows used in investing activities decreased by $233.3 million for the nine months ended September 30, 2026 compared to the corresponding period in 2025 primarily due to a decrease of $304.2 million in real estate acquisitions and a decrease of $63.1 million in purchase of real-estate related and other securities, partially offset by an increase of $78.3 million in the origination of investments in real estate debt and by a decrease of $55.0 million in proceeds from real estate-related and other securities.</w:t>
      </w:r>
    </w:p>
    <w:p>
      <w:pPr>
        <w:spacing w:after="0" w:line="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Cash flows provided by financing activities decreased by $136.0 million for the nine months ended September 30, 2026 compared to the corresponding period in 2025 primarily due to a decrease of net proceeds from the issuance of common stock of $229.1 million, an increase of $428.0 million in repayments under the Credit Facility, an increase of $50.6 million in repurchases of common stock and Mandatorily Redeemable Instruments and a decrease of $87.3 million in proceeds from mortgage notes, partially offset by an increase of $615.3 million in borrowings under the Credit Facility and an increase of $58.7 million in proceeds from the Repurchase Facility.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generally intend to distribute substantially all of our taxable income, which does not necessarily equal net income as calculated in accordance with GAAP, to our stockholders each year to comply with the REIT provisions of the Code. Each class of common stock receives the same gross distribution per share. The net distribution varies for each class based on the applicable stockholder servicing fee, which is deducted from the monthly distribution per share.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aggregate distributions declared for each applicable class of common stock:</w:t>
      </w:r>
    </w:p>
    <w:p>
      <w:pPr>
        <w:spacing w:after="0" w:line="15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19685</wp:posOffset>
            </wp:positionV>
            <wp:extent cx="53917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0" w:lineRule="exact"/>
        <w:rPr>
          <w:sz w:val="20"/>
          <w:szCs w:val="20"/>
          <w:color w:val="auto"/>
        </w:rPr>
      </w:pPr>
    </w:p>
    <w:p>
      <w:pPr>
        <w:ind w:left="20"/>
        <w:spacing w:after="0" w:line="290" w:lineRule="auto"/>
        <w:rPr>
          <w:sz w:val="20"/>
          <w:szCs w:val="20"/>
          <w:color w:val="auto"/>
        </w:rPr>
      </w:pPr>
      <w:r>
        <w:rPr>
          <w:rFonts w:ascii="Times New Roman" w:cs="Times New Roman" w:eastAsia="Times New Roman" w:hAnsi="Times New Roman"/>
          <w:sz w:val="17"/>
          <w:szCs w:val="17"/>
          <w:color w:val="auto"/>
        </w:rPr>
        <w:t>Aggregate gross distributions declared per share of common stock</w:t>
      </w:r>
    </w:p>
    <w:p>
      <w:pPr>
        <w:ind w:left="20" w:right="60"/>
        <w:spacing w:after="0" w:line="250" w:lineRule="auto"/>
        <w:rPr>
          <w:sz w:val="20"/>
          <w:szCs w:val="20"/>
          <w:color w:val="auto"/>
        </w:rPr>
      </w:pPr>
      <w:r>
        <w:rPr>
          <w:rFonts w:ascii="Times New Roman" w:cs="Times New Roman" w:eastAsia="Times New Roman" w:hAnsi="Times New Roman"/>
          <w:sz w:val="18"/>
          <w:szCs w:val="18"/>
          <w:color w:val="auto"/>
        </w:rPr>
        <w:t>Stockholder servicing fee per share of common stock</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20" w:right="40"/>
        <w:spacing w:after="0" w:line="243" w:lineRule="auto"/>
        <w:rPr>
          <w:sz w:val="20"/>
          <w:szCs w:val="20"/>
          <w:color w:val="auto"/>
        </w:rPr>
      </w:pPr>
      <w:r>
        <w:rPr>
          <w:rFonts w:ascii="Times New Roman" w:cs="Times New Roman" w:eastAsia="Times New Roman" w:hAnsi="Times New Roman"/>
          <w:sz w:val="18"/>
          <w:szCs w:val="18"/>
          <w:color w:val="auto"/>
        </w:rPr>
        <w:t>Net distributions declared per share of common stock</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Class Y</w:t>
            </w:r>
          </w:p>
        </w:tc>
      </w:tr>
      <w:tr>
        <w:trPr>
          <w:trHeight w:val="345"/>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0.1299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0.1299</w:t>
            </w:r>
          </w:p>
        </w:tc>
      </w:tr>
      <w:tr>
        <w:trPr>
          <w:trHeight w:val="459"/>
        </w:trPr>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(0.0246)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(0.0243)</w:t>
            </w:r>
          </w:p>
        </w:tc>
      </w:tr>
      <w:tr>
        <w:trPr>
          <w:trHeight w:val="121"/>
        </w:trPr>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331"/>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0.1053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0.1299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0.1056</w:t>
            </w:r>
          </w:p>
        </w:tc>
      </w:tr>
      <w:tr>
        <w:trPr>
          <w:trHeight w:val="94"/>
        </w:trPr>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-316865</wp:posOffset>
            </wp:positionV>
            <wp:extent cx="7132320" cy="3003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-916940</wp:posOffset>
            </wp:positionV>
            <wp:extent cx="7132320" cy="3003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120"/>
            <w:col w:w="8500"/>
          </w:cols>
          <w:pgMar w:left="320" w:top="121"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line="290" w:lineRule="auto"/>
        <w:rPr>
          <w:sz w:val="20"/>
          <w:szCs w:val="20"/>
          <w:color w:val="auto"/>
        </w:rPr>
      </w:pPr>
      <w:r>
        <w:rPr>
          <w:rFonts w:ascii="Times New Roman" w:cs="Times New Roman" w:eastAsia="Times New Roman" w:hAnsi="Times New Roman"/>
          <w:sz w:val="17"/>
          <w:szCs w:val="17"/>
          <w:color w:val="auto"/>
        </w:rPr>
        <w:t>Aggregate gross distributions declared per share of common stock</w:t>
      </w:r>
    </w:p>
    <w:p>
      <w:pPr>
        <w:ind w:left="20" w:right="60"/>
        <w:spacing w:after="0" w:line="250" w:lineRule="auto"/>
        <w:rPr>
          <w:sz w:val="20"/>
          <w:szCs w:val="20"/>
          <w:color w:val="auto"/>
        </w:rPr>
      </w:pPr>
      <w:r>
        <w:rPr>
          <w:rFonts w:ascii="Times New Roman" w:cs="Times New Roman" w:eastAsia="Times New Roman" w:hAnsi="Times New Roman"/>
          <w:sz w:val="18"/>
          <w:szCs w:val="18"/>
          <w:color w:val="auto"/>
        </w:rPr>
        <w:t>Stockholder servicing fee per share of common stock</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p>
      <w:pPr>
        <w:ind w:left="20" w:right="40"/>
        <w:spacing w:after="0" w:line="243" w:lineRule="auto"/>
        <w:rPr>
          <w:sz w:val="20"/>
          <w:szCs w:val="20"/>
          <w:color w:val="auto"/>
        </w:rPr>
      </w:pPr>
      <w:r>
        <w:rPr>
          <w:rFonts w:ascii="Times New Roman" w:cs="Times New Roman" w:eastAsia="Times New Roman" w:hAnsi="Times New Roman"/>
          <w:sz w:val="18"/>
          <w:szCs w:val="18"/>
          <w:color w:val="auto"/>
        </w:rPr>
        <w:t>Net distributions declared per share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3917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Class Y</w:t>
            </w:r>
          </w:p>
        </w:tc>
      </w:tr>
      <w:tr>
        <w:trPr>
          <w:trHeight w:val="345"/>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0.1722</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0.3832</w:t>
            </w:r>
          </w:p>
        </w:tc>
      </w:tr>
      <w:tr>
        <w:trPr>
          <w:trHeight w:val="459"/>
        </w:trPr>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(0.0326)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(0.0718)</w:t>
            </w:r>
          </w:p>
        </w:tc>
      </w:tr>
      <w:tr>
        <w:trPr>
          <w:trHeight w:val="121"/>
        </w:trPr>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331"/>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0.1396</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0.3832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0.3114</w:t>
            </w:r>
          </w:p>
        </w:tc>
      </w:tr>
      <w:tr>
        <w:trPr>
          <w:trHeight w:val="94"/>
        </w:trPr>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-316865</wp:posOffset>
            </wp:positionV>
            <wp:extent cx="7132320" cy="3003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-916940</wp:posOffset>
            </wp:positionV>
            <wp:extent cx="7132320" cy="3003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620" w:space="120"/>
            <w:col w:w="8500"/>
          </w:cols>
          <w:pgMar w:left="320" w:top="121" w:right="339" w:bottom="1440" w:gutter="0" w:footer="0" w:header="0"/>
        </w:sectPr>
      </w:pPr>
    </w:p>
    <w:p>
      <w:pPr>
        <w:ind w:left="180" w:right="100" w:hanging="172"/>
        <w:spacing w:after="0" w:line="232" w:lineRule="auto"/>
        <w:tabs>
          <w:tab w:leader="none" w:pos="199"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Stockholder servicing fees only apply to Class D, Class S, Class T and Class Y shares. For purposes of NAV, the Company recognizes the stockholder servicing fee as a reduction of NAV on a monthly basis as such fee is paid. Under GAAP, the Company accrues the full cost of the stockholder servicing fee as an offering cost at the time the Company sells Class D, Class S, Class T and Class Y shares. The stockholder servicing fee on Class D shares was waived as of September 30, 2026, and the NAV attributable to current holders of Class D shares will not be included in the computation of stockholder servicing fees charged on Class D shares in perpetuity. The Company accrued stockholder servicing fees of $8.6 million and $6.3 million as of September 30, 2026 and December 31, 2025,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distributions paid on our shares of common stock ($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7"/>
                <w:szCs w:val="17"/>
                <w:color w:val="auto"/>
              </w:rPr>
            </w:pP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1"/>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39"/>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 in 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Reinvested in shares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distributions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Distributions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Offering proceeds</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sources of distributions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-1765300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32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c>
          <w:tcPr>
            <w:tcW w:w="31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41"/>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240" w:type="dxa"/>
            <w:vAlign w:val="bottom"/>
            <w:tcBorders>
              <w:bottom w:val="single" w:sz="8" w:color="auto"/>
            </w:tcBorders>
          </w:tcPr>
          <w:p>
            <w:pPr>
              <w:spacing w:after="0"/>
              <w:rPr>
                <w:sz w:val="20"/>
                <w:szCs w:val="20"/>
                <w:color w:val="auto"/>
              </w:rPr>
            </w:pPr>
          </w:p>
        </w:tc>
      </w:tr>
      <w:tr>
        <w:trPr>
          <w:trHeight w:val="239"/>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20"/>
                <w:szCs w:val="20"/>
                <w:color w:val="auto"/>
              </w:rPr>
            </w:pPr>
          </w:p>
        </w:tc>
        <w:tc>
          <w:tcPr>
            <w:tcW w:w="16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 in cash</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Reinvested in shares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7"/>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distributions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Distributions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Offering proceeds</w:t>
            </w:r>
          </w:p>
        </w:tc>
        <w:tc>
          <w:tcPr>
            <w:tcW w:w="2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sources of distributions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bl>
    <w:p>
      <w:pPr>
        <w:spacing w:after="0" w:line="3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to the distributions paid on our common stock, during the three and nine months ended September 30, 2026 and 2025, we paid $0.0 million, $0.6 million, $0.9 million and $3.1 million, respectively, for Mandatorily Redeemable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367" w:lineRule="auto"/>
        <w:rPr>
          <w:sz w:val="20"/>
          <w:szCs w:val="20"/>
          <w:color w:val="auto"/>
        </w:rPr>
      </w:pPr>
      <w:r>
        <w:rPr>
          <w:rFonts w:ascii="Times New Roman" w:cs="Times New Roman" w:eastAsia="Times New Roman" w:hAnsi="Times New Roman"/>
          <w:sz w:val="18"/>
          <w:szCs w:val="18"/>
          <w:color w:val="auto"/>
        </w:rPr>
        <w:t xml:space="preserve">Instruments. Such amounts are recorded in mandatorily redeemable instruments interest costs on our Condensed Consolidated Statements of Operations. </w:t>
      </w:r>
      <w:r>
        <w:rPr>
          <w:rFonts w:ascii="Times New Roman" w:cs="Times New Roman" w:eastAsia="Times New Roman" w:hAnsi="Times New Roman"/>
          <w:sz w:val="18"/>
          <w:szCs w:val="18"/>
          <w:b w:val="1"/>
          <w:bCs w:val="1"/>
          <w:color w:val="auto"/>
        </w:rPr>
        <w:t>Net Asset Value</w:t>
      </w:r>
    </w:p>
    <w:p>
      <w:pPr>
        <w:spacing w:after="0" w:line="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Our board of directors, including a majority of our independent directors, has adopted valuation guidelines that contain a comprehensive set of methodologies to be used by the Adviser and our independent valuation advisor in connection with estimating the values of our assets and liabilities for purposes of our NAV calculation. The overarching principle of these guidelines is to produce a valuation that represents a fair and accurate estimate of the value of our investments or the price that would be received for our investments in an arm’s-length transaction between a willing buyer and a willing seller in possession of all material information about our investments. These valuation guidelines are largely based upon standard industry practices used by private, open-end real estate funds and other public, non-listed REITs, and are administered by the Adviser.</w:t>
      </w:r>
    </w:p>
    <w:p>
      <w:pPr>
        <w:spacing w:after="0" w:line="8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 xml:space="preserve">As a public company, we are required to issue financial statements based on historical cost in accordance with GAAP, which are subject to an independent audit. To calculate our NAV for purposes of establishing a purchase and repurchase price for our shares, we have adopted a model, as explained below, that adjusts the value of our assets from historical cost to fair value in accordance with the GAAP principles set forth in FASB Accounting Standards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However, our valuation procedures and our NAV are not subject to GAAP and are not subject to independent audit. Our NAV may differ from equity reflected on our audited financial statements, even if we are required to adopt a fair value basis of accounting for GAAP financial statement purposes in the future. Because these fair value calculations involve significant professional judgment in the application of both observable and unobservable attributes, the calculated fair value of our assets may differ from their actual realizable value or future fair value. While we believe our NAV calculation methodologies are consistent with standard industry practices, there is no rule or regulation that requires that we calculate NAV in a certain way. As a result, other public, non-listed REITs may use different methodologies or assumptions to determine NAV.</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methods are used for purposes of calculating our NAV:</w:t>
      </w:r>
    </w:p>
    <w:p>
      <w:pPr>
        <w:spacing w:after="0" w:line="104" w:lineRule="exact"/>
        <w:rPr>
          <w:sz w:val="20"/>
          <w:szCs w:val="20"/>
          <w:color w:val="auto"/>
        </w:rPr>
      </w:pPr>
    </w:p>
    <w:p>
      <w:pPr>
        <w:ind w:left="660" w:right="100" w:hanging="328"/>
        <w:spacing w:after="0" w:line="24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property are valued by our independent valuation advisor and independent third-party appraisal firms using the income approach’s discounted cash flow method. The discounted cash flow method takes into consideration contractual rent payments over the life of the lease term offset by any capitalized expenditures. Our independent valuation advisor and independent third-party appraisers may supplement the discounted cash flow analysis with a sales comparison approach and the income approach’s direct capitalization method, but typically reconcile exclusively to the discounted cash flow method.</w:t>
      </w:r>
    </w:p>
    <w:p>
      <w:pPr>
        <w:spacing w:after="0" w:line="86"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investments in real estate debt are valued by an independent debt valuation services firm using a variety of methods, including but not limited to, market quotations and/or discounted cash flow method. Our independent debt valuation services firm calculates the fair value of loans in accordance with GAAP and by considering all relevant calculations and scenarios that a market participant would consider in evaluating the financial instrument. Most loans held as an investment are valued by discounting debt service cash flows using a market yield.</w:t>
      </w:r>
    </w:p>
    <w:p>
      <w:pPr>
        <w:spacing w:after="0" w:line="69" w:lineRule="exact"/>
        <w:rPr>
          <w:rFonts w:ascii="Times New Roman" w:cs="Times New Roman" w:eastAsia="Times New Roman" w:hAnsi="Times New Roman"/>
          <w:sz w:val="18"/>
          <w:szCs w:val="18"/>
          <w:color w:val="auto"/>
        </w:rPr>
      </w:pPr>
    </w:p>
    <w:p>
      <w:pPr>
        <w:jc w:val="both"/>
        <w:ind w:left="660" w:right="180" w:hanging="328"/>
        <w:spacing w:after="0" w:line="25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estate-related and other securities consists of investments in commercial mortgage-backed securities. We classify real estate-related and other securities as trading securities which the Adviser generally values on the basis of publicly available market quotations or at fair value determined in accordance with GAAP.</w:t>
      </w:r>
    </w:p>
    <w:p>
      <w:pPr>
        <w:spacing w:after="0" w:line="61" w:lineRule="exact"/>
        <w:rPr>
          <w:rFonts w:ascii="Times New Roman" w:cs="Times New Roman" w:eastAsia="Times New Roman" w:hAnsi="Times New Roman"/>
          <w:sz w:val="18"/>
          <w:szCs w:val="18"/>
          <w:color w:val="auto"/>
        </w:rPr>
      </w:pPr>
    </w:p>
    <w:p>
      <w:pPr>
        <w:ind w:left="660" w:right="120" w:hanging="328"/>
        <w:spacing w:after="0" w:line="24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swaps are valued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note futures contracts are valued based on quoted market prices for identical instruments.</w:t>
      </w:r>
    </w:p>
    <w:p>
      <w:pPr>
        <w:spacing w:after="0" w:line="103"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include the fees payable to the Adviser and the Dealer Manager, accounts payable, accrued operating expenses, property-level mortgages, the Repurchase Facility, any portfolio-level credit facilities and other liabilities, where applicable. Other than property-level mortgages and the Repurchase Facility, we include the cost basis of our liabilities as part of NAV, which approximates fair value. These carrying amounts are meant to reasonably approximate fair value due to the liquid and short-term nature of the instruments. We include as part of NAV the fair value of our property-level mortgages and Repurchase Facility, which are valued monthly by an independent valuation services firm. For most loans valued from the borrower’s perspective, our independent debt valuation services firm utilizes a discounted cash flow analysis in evaluating its fair value conclusions. Additional</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inputs or adjustments to fair value conclusions may be applicable based on observations of market participant behavior.</w:t>
      </w:r>
    </w:p>
    <w:p>
      <w:pPr>
        <w:spacing w:after="0" w:line="1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accordance with the valuation guidelines, our fund administrator calculates our NAV per share for each class of our common stock as of the last calendar day of each month, using a process that reflects several components (each as described above), including the estimated fair value of (1) each of our properties based upon individual appraisal reports provided quarterly by third-party independent valuation firms or our independent valuation advisor, (2) our real estate-related assets for which third-party market quotes are available, (3) our other real estate-related assets, if any, and (4) our other assets and liabilities. The NAV per share for the share classes we are offering to the public may differ because stockholder servicing fees, management fees and the performance participation allocable to a specific class of shares are only included in the NAV calculation for that class.</w:t>
      </w:r>
    </w:p>
    <w:p>
      <w:pPr>
        <w:spacing w:after="0" w:line="7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At the end of each month, before taking into consideration additional issuances of shares of capital stock, share repurchases or class-specific expense accruals for that month, any change in our aggregate NAV (whether an increase or decrease) is allocated among each class of shares based on each class’s relative percentage of the previous aggregate NAV plus issuances of shares that were effective on the first calendar day of such month. The NAV calculation is available generally within 15 calendar days after the end of the applicable month. Changes in our monthly NAV include accruals of our net portfolio income, interest expense, the management fee, any accrued performance participation, distributions, unrealized/realized gains and losses on assets, any applicable organization and offering costs and any expense reimbursements. Changes in our monthly NAV also include material non-recurring events, such as capital expenditures and material property acquisitions and dispositions occurring during the month. Notwithstanding anything herein to the contrary, the Adviser may in its discretion consider material market data and other information that becomes available after the end of the applicable month in valuing our assets and liabilities and calculating our NAV for a particular month. On an ongoing basis, the Adviser will adjust the accruals to reflect actual operating results and the outstanding receivable, payable and other account balances resulting from the accumulation of monthly accruals for which financial information is available.</w:t>
      </w:r>
    </w:p>
    <w:p>
      <w:pPr>
        <w:spacing w:after="0" w:line="7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Adviser advanced our organization and offering expenses on our behalf (other than upfront selling commissions, dealer manager fees and stockholder servicing fees) through July 22, 2024. On such date, we began reimbursing the Adviser for all such advanced costs ratably over a period that will continue until 60 months following such date. For purposes of calculating our NAV, the organization and offering expenses paid by the Adviser through July 22, 2024 will not be recognized as expenses, or as a component of equity and reflected in our NAV, until we reimburse the Adviser for these expenses. In addition, the operating expenses paid by the Adviser through April 30, 2026 will not be recognized as expenses and reflected in our NAV, until we reimburse the Adviser for these expenses.</w:t>
      </w:r>
    </w:p>
    <w:p>
      <w:pPr>
        <w:spacing w:after="0" w:line="7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Following the aggregation of the net asset values of our investments, the addition of any other assets (such as cash on hand) and the deduction of any other liabilities, our fund administrator incorporates any class-specific adjustments to our NAV, including additional issuances and repurchases of our common stock and accruals of class-specific stockholder servicing fees, management fees and any accrued performance participation. For each applicable class of shares, each of the stockholder servicing fee and the management fee is calculated as a percentage of the aggregate NAV for such class of shares. At the close of business on the record date for any declared distribution, our NAV for each class will be reduced to reflect the accrual of our liability to pay any distribution to our stockholders of record of such class. NAV per share for each class is calculated by dividing such class’s NAV at the end of each month by the number of shares outstanding for that class at the end of such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We calculate NAV per share in accordance with the valuation guidelines that have been approved by our board of directors. We believe our NAV is a meaningful supplemental non-GAAP operating metric. The following table provides a breakdown of the major components of our NAV as of September 30, 2026 ($ and shares/units in thousands):</w:t>
      </w:r>
    </w:p>
    <w:p>
      <w:pPr>
        <w:sectPr>
          <w:pgSz w:w="11900" w:h="16838" w:orient="portrait"/>
          <w:cols w:equalWidth="0" w:num="1">
            <w:col w:w="11240"/>
          </w:cols>
          <w:pgMar w:left="320" w:top="121" w:right="339" w:bottom="1440" w:gutter="0" w:footer="0" w:header="0"/>
        </w:sect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in real estate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in real estate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in real estate-related and other securities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obligations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performance participation allocation</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Stockholder servicing fees payable the following month</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Non-controlling interests in joint ventures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974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outstanding shares/units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57" w:lineRule="exact"/>
        <w:rPr>
          <w:sz w:val="20"/>
          <w:szCs w:val="20"/>
          <w:color w:val="auto"/>
        </w:rPr>
      </w:pPr>
    </w:p>
    <w:p>
      <w:pPr>
        <w:ind w:left="667" w:hanging="667"/>
        <w:spacing w:after="0"/>
        <w:tabs>
          <w:tab w:leader="none" w:pos="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1,720,942</w:t>
      </w:r>
    </w:p>
    <w:p>
      <w:pPr>
        <w:spacing w:after="0" w:line="63" w:lineRule="exact"/>
        <w:rPr>
          <w:rFonts w:ascii="Times New Roman" w:cs="Times New Roman" w:eastAsia="Times New Roman" w:hAnsi="Times New Roman"/>
          <w:sz w:val="18"/>
          <w:szCs w:val="18"/>
          <w:color w:val="auto"/>
        </w:rPr>
      </w:pPr>
    </w:p>
    <w:p>
      <w:pPr>
        <w:ind w:left="8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358,542</w:t>
      </w:r>
    </w:p>
    <w:p>
      <w:pPr>
        <w:spacing w:after="0" w:line="63"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14,605</w:t>
      </w:r>
    </w:p>
    <w:p>
      <w:pPr>
        <w:spacing w:after="0" w:line="63"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24,603</w:t>
      </w:r>
    </w:p>
    <w:p>
      <w:pPr>
        <w:spacing w:after="0" w:line="63" w:lineRule="exact"/>
        <w:rPr>
          <w:rFonts w:ascii="Times New Roman" w:cs="Times New Roman" w:eastAsia="Times New Roman" w:hAnsi="Times New Roman"/>
          <w:sz w:val="18"/>
          <w:szCs w:val="18"/>
          <w:color w:val="auto"/>
        </w:rPr>
      </w:pPr>
    </w:p>
    <w:p>
      <w:pPr>
        <w:ind w:left="9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7,225</w:t>
      </w:r>
    </w:p>
    <w:p>
      <w:pPr>
        <w:spacing w:after="0" w:line="63" w:lineRule="exact"/>
        <w:rPr>
          <w:rFonts w:ascii="Times New Roman" w:cs="Times New Roman" w:eastAsia="Times New Roman" w:hAnsi="Times New Roman"/>
          <w:sz w:val="18"/>
          <w:szCs w:val="18"/>
          <w:color w:val="auto"/>
        </w:rPr>
      </w:pPr>
    </w:p>
    <w:p>
      <w:pPr>
        <w:ind w:left="9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15,153</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(942,312)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(31,924)</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(95)</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(97)</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94297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7" w:lineRule="exact"/>
        <w:rPr>
          <w:sz w:val="20"/>
          <w:szCs w:val="20"/>
          <w:color w:val="auto"/>
        </w:rPr>
      </w:pPr>
    </w:p>
    <w:p>
      <w:pPr>
        <w:ind w:left="667" w:hanging="667"/>
        <w:spacing w:after="0"/>
        <w:tabs>
          <w:tab w:leader="none" w:pos="6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1,147,247</w:t>
      </w:r>
    </w:p>
    <w:p>
      <w:pPr>
        <w:spacing w:after="0" w:line="76" w:lineRule="exact"/>
        <w:rPr>
          <w:rFonts w:ascii="Times New Roman" w:cs="Times New Roman" w:eastAsia="Times New Roman" w:hAnsi="Times New Roman"/>
          <w:sz w:val="18"/>
          <w:szCs w:val="18"/>
          <w:color w:val="auto"/>
        </w:rPr>
      </w:pPr>
    </w:p>
    <w:p>
      <w:pPr>
        <w:ind w:left="8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101,508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9429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ind w:left="180" w:right="20" w:hanging="172"/>
        <w:spacing w:after="0" w:line="330" w:lineRule="auto"/>
        <w:tabs>
          <w:tab w:leader="none" w:pos="168"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September 30, 2026, and the NAV attributable to current holders of Class D shares will not be included in the computation of stockholder servicing fees charged on Class D shares in perpetuity. As of September 30, 2026, we had accrued under GAAP stockholder servicing fees of $8.6 million.</w:t>
      </w:r>
    </w:p>
    <w:p>
      <w:pPr>
        <w:spacing w:after="0" w:line="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share/unit by class as of September 30, 2026 ($ and shares/units in thousands except per-share/unit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NAV per</w:t>
            </w:r>
          </w:p>
        </w:tc>
        <w:tc>
          <w:tcPr>
            <w:tcW w:w="0" w:type="dxa"/>
            <w:vAlign w:val="bottom"/>
          </w:tcPr>
          <w:p>
            <w:pPr>
              <w:spacing w:after="0"/>
              <w:rPr>
                <w:sz w:val="1"/>
                <w:szCs w:val="1"/>
                <w:color w:val="auto"/>
              </w:rPr>
            </w:pPr>
          </w:p>
        </w:tc>
      </w:tr>
      <w:tr>
        <w:trPr>
          <w:trHeight w:val="184"/>
        </w:trPr>
        <w:tc>
          <w:tcPr>
            <w:tcW w:w="5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 Class/Unit</w:t>
            </w:r>
          </w:p>
        </w:tc>
        <w:tc>
          <w:tcPr>
            <w:tcW w:w="2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220" w:type="dxa"/>
            <w:vAlign w:val="bottom"/>
            <w:vMerge w:val="restart"/>
          </w:tcPr>
          <w:p>
            <w:pPr>
              <w:spacing w:after="0"/>
              <w:rPr>
                <w:sz w:val="16"/>
                <w:szCs w:val="16"/>
                <w:color w:val="auto"/>
              </w:rPr>
            </w:pPr>
          </w:p>
        </w:tc>
        <w:tc>
          <w:tcPr>
            <w:tcW w:w="1700" w:type="dxa"/>
            <w:vAlign w:val="bottom"/>
          </w:tcPr>
          <w:p>
            <w:pPr>
              <w:jc w:val="right"/>
              <w:ind w:right="330"/>
              <w:spacing w:after="0" w:line="184"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FF0FC"/>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FF0FC"/>
            </w:tcBorders>
            <w:vMerge w:val="continue"/>
          </w:tcPr>
          <w:p>
            <w:pPr>
              <w:spacing w:after="0"/>
              <w:rPr>
                <w:sz w:val="19"/>
                <w:szCs w:val="19"/>
                <w:color w:val="auto"/>
              </w:rPr>
            </w:pP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shares/units</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share/unit</w:t>
            </w: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Class D Shares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43"/>
        </w:trPr>
        <w:tc>
          <w:tcPr>
            <w:tcW w:w="5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Class I Shares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251,628</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Class S Shares</w:t>
            </w:r>
          </w:p>
        </w:tc>
        <w:tc>
          <w:tcPr>
            <w:tcW w:w="2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Class T Shares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9"/>
              </w:rPr>
              <w:t>Class E Shares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744,885</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43"/>
        </w:trPr>
        <w:tc>
          <w:tcPr>
            <w:tcW w:w="5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 X Shares</w:t>
            </w:r>
          </w:p>
        </w:tc>
        <w:tc>
          <w:tcPr>
            <w:tcW w:w="200" w:type="dxa"/>
            <w:vAlign w:val="bottom"/>
          </w:tcPr>
          <w:p>
            <w:pPr>
              <w:spacing w:after="0"/>
              <w:rPr>
                <w:sz w:val="21"/>
                <w:szCs w:val="21"/>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Class Y Shares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138,692</w:t>
            </w: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gridSpan w:val="2"/>
          </w:tcPr>
          <w:p>
            <w:pPr>
              <w:jc w:val="center"/>
              <w:ind w:right="200"/>
              <w:spacing w:after="0" w:line="243" w:lineRule="exact"/>
              <w:rPr>
                <w:sz w:val="20"/>
                <w:szCs w:val="20"/>
                <w:color w:val="auto"/>
              </w:rPr>
            </w:pPr>
            <w:r>
              <w:rPr>
                <w:rFonts w:ascii="Times New Roman" w:cs="Times New Roman" w:eastAsia="Times New Roman" w:hAnsi="Times New Roman"/>
                <w:sz w:val="18"/>
                <w:szCs w:val="18"/>
                <w:color w:val="auto"/>
                <w:w w:val="97"/>
              </w:rPr>
              <w:t>Operating Partnership Units</w:t>
            </w:r>
            <w:r>
              <w:rPr>
                <w:rFonts w:ascii="Times New Roman" w:cs="Times New Roman" w:eastAsia="Times New Roman" w:hAnsi="Times New Roman"/>
                <w:sz w:val="23"/>
                <w:szCs w:val="23"/>
                <w:color w:val="auto"/>
                <w:w w:val="97"/>
                <w:vertAlign w:val="superscript"/>
              </w:rPr>
              <w:t>(1)</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tcBorders>
              <w:bottom w:val="single" w:sz="8" w:color="CFF0FC"/>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4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62"/>
        </w:trPr>
        <w:tc>
          <w:tcPr>
            <w:tcW w:w="5700" w:type="dxa"/>
            <w:vAlign w:val="bottom"/>
            <w:tcBorders>
              <w:bottom w:val="single" w:sz="8" w:color="CFF0FC"/>
            </w:tcBorders>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1,147,247</w:t>
            </w:r>
          </w:p>
        </w:tc>
        <w:tc>
          <w:tcPr>
            <w:tcW w:w="22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101,508</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Class E units held by the Special Limited Partner.</w:t>
      </w:r>
    </w:p>
    <w:p>
      <w:pPr>
        <w:spacing w:after="0" w:line="15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Set forth below are the weighted averages of the key assumptions in the discounted cash flow methodology used in the September 30, 2026 valuations, based on property types. Once we own more than one single-family rental or more than one office property, we will include the key assumptions for such property types.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Type</w:t>
            </w:r>
          </w:p>
        </w:tc>
        <w:tc>
          <w:tcPr>
            <w:tcW w:w="80" w:type="dxa"/>
            <w:vAlign w:val="bottom"/>
            <w:tcBorders>
              <w:bottom w:val="single" w:sz="8" w:color="CFF0FC"/>
            </w:tcBorders>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 Rate</w:t>
            </w:r>
          </w:p>
        </w:tc>
        <w:tc>
          <w:tcPr>
            <w:tcW w:w="100" w:type="dxa"/>
            <w:vAlign w:val="bottom"/>
            <w:tcBorders>
              <w:bottom w:val="single" w:sz="8" w:color="CFF0FC"/>
            </w:tcBorders>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Exit Capitalization Rate</w:t>
            </w:r>
          </w:p>
        </w:tc>
      </w:tr>
      <w:tr>
        <w:trPr>
          <w:trHeight w:val="237"/>
        </w:trPr>
        <w:tc>
          <w:tcPr>
            <w:tcW w:w="5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7.37%</w:t>
            </w:r>
          </w:p>
        </w:tc>
        <w:tc>
          <w:tcPr>
            <w:tcW w:w="100" w:type="dxa"/>
            <w:vAlign w:val="bottom"/>
            <w:shd w:val="clear" w:color="auto" w:fill="CFF0FC"/>
          </w:tcPr>
          <w:p>
            <w:pPr>
              <w:spacing w:after="0"/>
              <w:rPr>
                <w:sz w:val="20"/>
                <w:szCs w:val="20"/>
                <w:color w:val="auto"/>
              </w:rPr>
            </w:pPr>
          </w:p>
        </w:tc>
        <w:tc>
          <w:tcPr>
            <w:tcW w:w="2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5.90%</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7.93%</w:t>
            </w:r>
          </w:p>
        </w:tc>
        <w:tc>
          <w:tcPr>
            <w:tcW w:w="10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6.43%</w:t>
            </w:r>
          </w:p>
        </w:tc>
      </w:tr>
      <w:tr>
        <w:trPr>
          <w:trHeight w:val="243"/>
        </w:trPr>
        <w:tc>
          <w:tcPr>
            <w:tcW w:w="5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7.52%</w:t>
            </w:r>
          </w:p>
        </w:tc>
        <w:tc>
          <w:tcPr>
            <w:tcW w:w="100" w:type="dxa"/>
            <w:vAlign w:val="bottom"/>
            <w:shd w:val="clear" w:color="auto" w:fill="CFF0FC"/>
          </w:tcPr>
          <w:p>
            <w:pPr>
              <w:spacing w:after="0"/>
              <w:rPr>
                <w:sz w:val="21"/>
                <w:szCs w:val="21"/>
                <w:color w:val="auto"/>
              </w:rPr>
            </w:pPr>
          </w:p>
        </w:tc>
        <w:tc>
          <w:tcPr>
            <w:tcW w:w="2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-471170</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-471170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assumptions are determined by our independent valuation advisor and reviewed by the Adviser. A change in these assumptions would impact the calculation of the values of our property investments. For example, assuming all other factors remain unchanged, the changes listed below would result in the following effects on our investment values: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Multifamily Investment</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Industrial Investment</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Retail Investment Values</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00" w:type="dxa"/>
            <w:vAlign w:val="bottom"/>
            <w:vMerge w:val="restart"/>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Hypothetical Change</w:t>
            </w:r>
          </w:p>
        </w:tc>
        <w:tc>
          <w:tcPr>
            <w:tcW w:w="100" w:type="dxa"/>
            <w:vAlign w:val="bottom"/>
            <w:vMerge w:val="restart"/>
          </w:tcPr>
          <w:p>
            <w:pPr>
              <w:spacing w:after="0"/>
              <w:rPr>
                <w:sz w:val="12"/>
                <w:szCs w:val="12"/>
                <w:color w:val="auto"/>
              </w:rPr>
            </w:pPr>
          </w:p>
        </w:tc>
        <w:tc>
          <w:tcPr>
            <w:tcW w:w="20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Values</w:t>
            </w:r>
          </w:p>
        </w:tc>
        <w:tc>
          <w:tcPr>
            <w:tcW w:w="100" w:type="dxa"/>
            <w:vAlign w:val="bottom"/>
            <w:vMerge w:val="restart"/>
          </w:tcPr>
          <w:p>
            <w:pPr>
              <w:spacing w:after="0"/>
              <w:rPr>
                <w:sz w:val="12"/>
                <w:szCs w:val="12"/>
                <w:color w:val="auto"/>
              </w:rPr>
            </w:pPr>
          </w:p>
        </w:tc>
        <w:tc>
          <w:tcPr>
            <w:tcW w:w="20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Values</w:t>
            </w:r>
          </w:p>
        </w:tc>
        <w:tc>
          <w:tcPr>
            <w:tcW w:w="80" w:type="dxa"/>
            <w:vAlign w:val="bottom"/>
            <w:vMerge w:val="restart"/>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17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2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FF0FC"/>
            </w:tcBorders>
            <w:vMerge w:val="continue"/>
          </w:tcPr>
          <w:p>
            <w:pPr>
              <w:spacing w:after="0"/>
              <w:rPr>
                <w:sz w:val="8"/>
                <w:szCs w:val="8"/>
                <w:color w:val="auto"/>
              </w:rPr>
            </w:pPr>
          </w:p>
        </w:tc>
        <w:tc>
          <w:tcPr>
            <w:tcW w:w="20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FF0FC"/>
            </w:tcBorders>
            <w:vMerge w:val="continue"/>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0.25% decrease</w:t>
            </w:r>
          </w:p>
        </w:tc>
        <w:tc>
          <w:tcPr>
            <w:tcW w:w="200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20"/>
                <w:szCs w:val="20"/>
                <w:color w:val="auto"/>
              </w:rPr>
            </w:pPr>
          </w:p>
        </w:tc>
        <w:tc>
          <w:tcPr>
            <w:tcW w:w="2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FF0FC"/>
          </w:tcPr>
          <w:p>
            <w:pPr>
              <w:spacing w:after="0"/>
              <w:rPr>
                <w:sz w:val="20"/>
                <w:szCs w:val="20"/>
                <w:color w:val="auto"/>
              </w:rPr>
            </w:pPr>
          </w:p>
        </w:tc>
        <w:tc>
          <w:tcPr>
            <w:tcW w:w="2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0.25% increase</w:t>
            </w:r>
          </w:p>
        </w:tc>
        <w:tc>
          <w:tcPr>
            <w:tcW w:w="2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3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Exit Capitalization Rate</w:t>
            </w:r>
          </w:p>
        </w:tc>
        <w:tc>
          <w:tcPr>
            <w:tcW w:w="18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0.25% decrease</w:t>
            </w:r>
          </w:p>
        </w:tc>
        <w:tc>
          <w:tcPr>
            <w:tcW w:w="200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0.25% increase</w:t>
            </w:r>
          </w:p>
        </w:tc>
        <w:tc>
          <w:tcPr>
            <w:tcW w:w="2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1"/>
                <w:szCs w:val="21"/>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-624840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-624840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-624840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-624840</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The following table reconciles stockholders’ equity per our Condensed Consolidated Balance Sheets to our NAV as of September 30, 2026 ($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Stockholders’ Equity to NAV</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36"/>
        </w:trPr>
        <w:tc>
          <w:tcPr>
            <w:tcW w:w="9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under GAAP</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974,352</w:t>
            </w:r>
          </w:p>
        </w:tc>
      </w:tr>
      <w:tr>
        <w:trPr>
          <w:trHeight w:val="243"/>
        </w:trPr>
        <w:tc>
          <w:tcPr>
            <w:tcW w:w="90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7"/>
        </w:trPr>
        <w:tc>
          <w:tcPr>
            <w:tcW w:w="9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 and Operating Partnership units</w:t>
            </w:r>
          </w:p>
        </w:tc>
        <w:tc>
          <w:tcPr>
            <w:tcW w:w="22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975,318</w:t>
            </w:r>
          </w:p>
        </w:tc>
      </w:tr>
      <w:tr>
        <w:trPr>
          <w:trHeight w:val="24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9080" w:type="dxa"/>
            <w:vAlign w:val="bottom"/>
            <w:gridSpan w:val="2"/>
            <w:shd w:val="clear" w:color="auto" w:fill="CFF0FC"/>
          </w:tcPr>
          <w:p>
            <w:pPr>
              <w:ind w:left="360"/>
              <w:spacing w:after="0" w:line="243" w:lineRule="exact"/>
              <w:rPr>
                <w:sz w:val="20"/>
                <w:szCs w:val="20"/>
                <w:color w:val="auto"/>
              </w:rPr>
            </w:pPr>
            <w:r>
              <w:rPr>
                <w:rFonts w:ascii="Times New Roman" w:cs="Times New Roman" w:eastAsia="Times New Roman" w:hAnsi="Times New Roman"/>
                <w:sz w:val="18"/>
                <w:szCs w:val="18"/>
                <w:color w:val="auto"/>
              </w:rPr>
              <w:t>Organization, offering costs and operating expenses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w:t>
            </w:r>
          </w:p>
        </w:tc>
      </w:tr>
      <w:tr>
        <w:trPr>
          <w:trHeight w:val="243"/>
        </w:trPr>
        <w:tc>
          <w:tcPr>
            <w:tcW w:w="908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8"/>
                <w:szCs w:val="18"/>
                <w:color w:val="auto"/>
              </w:rPr>
              <w:t>Accrued stockholder servicing fees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w:t>
            </w:r>
          </w:p>
        </w:tc>
      </w:tr>
      <w:tr>
        <w:trPr>
          <w:trHeight w:val="243"/>
        </w:trPr>
        <w:tc>
          <w:tcPr>
            <w:tcW w:w="9080" w:type="dxa"/>
            <w:vAlign w:val="bottom"/>
            <w:gridSpan w:val="2"/>
            <w:shd w:val="clear" w:color="auto" w:fill="CFF0FC"/>
          </w:tcPr>
          <w:p>
            <w:pPr>
              <w:ind w:left="360"/>
              <w:spacing w:after="0" w:line="243" w:lineRule="exact"/>
              <w:rPr>
                <w:sz w:val="20"/>
                <w:szCs w:val="20"/>
                <w:color w:val="auto"/>
              </w:rPr>
            </w:pPr>
            <w:r>
              <w:rPr>
                <w:rFonts w:ascii="Times New Roman" w:cs="Times New Roman" w:eastAsia="Times New Roman" w:hAnsi="Times New Roman"/>
                <w:sz w:val="18"/>
                <w:szCs w:val="18"/>
                <w:color w:val="auto"/>
              </w:rPr>
              <w:t>Unrealized real estate and borrowings appreciation, net</w:t>
            </w:r>
            <w:r>
              <w:rPr>
                <w:rFonts w:ascii="Times New Roman" w:cs="Times New Roman" w:eastAsia="Times New Roman" w:hAnsi="Times New Roman"/>
                <w:sz w:val="23"/>
                <w:szCs w:val="23"/>
                <w:color w:val="auto"/>
                <w:vertAlign w:val="superscript"/>
              </w:rPr>
              <w:t>(3)</w:t>
            </w:r>
          </w:p>
        </w:tc>
        <w:tc>
          <w:tcPr>
            <w:tcW w:w="22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56,519</w:t>
            </w:r>
          </w:p>
        </w:tc>
      </w:tr>
      <w:tr>
        <w:trPr>
          <w:trHeight w:val="243"/>
        </w:trPr>
        <w:tc>
          <w:tcPr>
            <w:tcW w:w="908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18"/>
                <w:szCs w:val="18"/>
                <w:color w:val="auto"/>
              </w:rPr>
              <w:t>Accumulated depreciation and amortization</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107,287</w:t>
            </w:r>
          </w:p>
        </w:tc>
      </w:tr>
      <w:tr>
        <w:trPr>
          <w:trHeight w:val="243"/>
        </w:trPr>
        <w:tc>
          <w:tcPr>
            <w:tcW w:w="9080" w:type="dxa"/>
            <w:vAlign w:val="bottom"/>
            <w:gridSpan w:val="2"/>
            <w:shd w:val="clear" w:color="auto" w:fill="CFF0FC"/>
          </w:tcPr>
          <w:p>
            <w:pPr>
              <w:ind w:left="360"/>
              <w:spacing w:after="0" w:line="243" w:lineRule="exact"/>
              <w:rPr>
                <w:sz w:val="20"/>
                <w:szCs w:val="20"/>
                <w:color w:val="auto"/>
              </w:rPr>
            </w:pPr>
            <w:r>
              <w:rPr>
                <w:rFonts w:ascii="Times New Roman" w:cs="Times New Roman" w:eastAsia="Times New Roman" w:hAnsi="Times New Roman"/>
                <w:sz w:val="18"/>
                <w:szCs w:val="18"/>
                <w:color w:val="auto"/>
              </w:rPr>
              <w:t>Straight-line rent receivable</w:t>
            </w:r>
            <w:r>
              <w:rPr>
                <w:rFonts w:ascii="Times New Roman" w:cs="Times New Roman" w:eastAsia="Times New Roman" w:hAnsi="Times New Roman"/>
                <w:sz w:val="23"/>
                <w:szCs w:val="23"/>
                <w:color w:val="auto"/>
                <w:vertAlign w:val="superscript"/>
              </w:rPr>
              <w:t>(5)</w:t>
            </w:r>
          </w:p>
        </w:tc>
        <w:tc>
          <w:tcPr>
            <w:tcW w:w="22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43"/>
        </w:trPr>
        <w:tc>
          <w:tcPr>
            <w:tcW w:w="9080" w:type="dxa"/>
            <w:vAlign w:val="bottom"/>
            <w:tcBorders>
              <w:bottom w:val="single" w:sz="8" w:color="CFF0FC"/>
            </w:tcBorders>
            <w:gridSpan w:val="2"/>
          </w:tcPr>
          <w:p>
            <w:pPr>
              <w:ind w:left="360"/>
              <w:spacing w:after="0" w:line="243" w:lineRule="exact"/>
              <w:rPr>
                <w:sz w:val="20"/>
                <w:szCs w:val="20"/>
                <w:color w:val="auto"/>
              </w:rPr>
            </w:pPr>
            <w:r>
              <w:rPr>
                <w:rFonts w:ascii="Times New Roman" w:cs="Times New Roman" w:eastAsia="Times New Roman" w:hAnsi="Times New Roman"/>
                <w:sz w:val="18"/>
                <w:szCs w:val="18"/>
                <w:color w:val="auto"/>
              </w:rPr>
              <w:t>Investment in sales-type leases, net</w:t>
            </w:r>
            <w:r>
              <w:rPr>
                <w:rFonts w:ascii="Times New Roman" w:cs="Times New Roman" w:eastAsia="Times New Roman" w:hAnsi="Times New Roman"/>
                <w:sz w:val="23"/>
                <w:szCs w:val="23"/>
                <w:color w:val="auto"/>
                <w:vertAlign w:val="superscript"/>
              </w:rPr>
              <w:t>(5)</w:t>
            </w: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1"/>
        </w:trPr>
        <w:tc>
          <w:tcPr>
            <w:tcW w:w="9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1,147,247</w:t>
            </w:r>
          </w:p>
        </w:tc>
      </w:tr>
      <w:tr>
        <w:trPr>
          <w:trHeight w:val="20"/>
        </w:trPr>
        <w:tc>
          <w:tcPr>
            <w:tcW w:w="8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9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-1756410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ind w:left="180" w:right="180" w:hanging="172"/>
        <w:spacing w:after="0" w:line="263" w:lineRule="auto"/>
        <w:tabs>
          <w:tab w:leader="none" w:pos="16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Adviser advanced our organization and offering expenses on our behalf (other than upfront selling commissions and stockholder servicing fees) through July 22, 2024. On such date, we began reimbursing the Adviser for all such advanced costs ratably over a period that will continue until 60 months following such date. During the three and nine months ended ended September 30, 2026, we reimbursed $0.7 million and $1.2 million to the Adviser. In addition, the Adviser advanced on our behalf certain of our operating expenses through April 30, 2026. Starting May 1, 2026, we began reimbursing the Adviser for all such advanced expenses ratably over a period that will continue until 60 months following such date. Under GAAP, organization costs are expensed as incurred and offering costs are charged to equity as such amounts are incurred. For the purposes of calculating NAV, such costs will be recognized as a reduction to NAV as they are reimbursed ratably over the respective 60-month reimbursement periods.</w:t>
      </w:r>
    </w:p>
    <w:p>
      <w:pPr>
        <w:spacing w:after="0" w:line="2" w:lineRule="exact"/>
        <w:rPr>
          <w:rFonts w:ascii="Times New Roman" w:cs="Times New Roman" w:eastAsia="Times New Roman" w:hAnsi="Times New Roman"/>
          <w:sz w:val="20"/>
          <w:szCs w:val="20"/>
          <w:color w:val="auto"/>
          <w:vertAlign w:val="superscript"/>
        </w:rPr>
      </w:pPr>
    </w:p>
    <w:p>
      <w:pPr>
        <w:ind w:left="180" w:right="20" w:hanging="172"/>
        <w:spacing w:after="0" w:line="319" w:lineRule="auto"/>
        <w:tabs>
          <w:tab w:leader="none" w:pos="16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Stockholder servicing fees only apply to Class D, Class S, Class T and Class Y shares. For purposes of NAV, we recognize the stockholder servicing fee as a reduction to our NAV on a monthly basis as such fee is paid. Under GAAP, we accrue the lifetime cost of the stockholder servicing fee as an offering cost at the time we sell Class D, Class S, Class T and Class Y shares. The stockholder servicing fee on Class D shares was waived as of September 30, 2026, and the NAV attributable to current holders of Class D shares will not be included in the computation of stockholder servicing fees charged on Class D shares in perpetuity.</w:t>
      </w:r>
    </w:p>
    <w:p>
      <w:pPr>
        <w:ind w:left="180" w:right="100" w:hanging="172"/>
        <w:spacing w:after="0" w:line="252" w:lineRule="auto"/>
        <w:tabs>
          <w:tab w:leader="none" w:pos="16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Our investments in real estate are presented at historical cost in our GAAP condensed consolidated financial statements. Additionally, our mortgage notes, Repurchase Facility and the Credit Facility (“Borrowings”) are presented at their carrying values in our condensed consolidated financial statements. As such, any changes in the fair market values of our investments in real estate or our Borrowings are not included in our GAAP results. For purposes of determining our NAV, our investments in real estate and our Borrowings are recorded at fair value.</w:t>
      </w:r>
    </w:p>
    <w:p>
      <w:pPr>
        <w:spacing w:after="0" w:line="2" w:lineRule="exact"/>
        <w:rPr>
          <w:rFonts w:ascii="Times New Roman" w:cs="Times New Roman" w:eastAsia="Times New Roman" w:hAnsi="Times New Roman"/>
          <w:sz w:val="20"/>
          <w:szCs w:val="20"/>
          <w:color w:val="auto"/>
          <w:vertAlign w:val="superscript"/>
        </w:rPr>
      </w:pPr>
    </w:p>
    <w:p>
      <w:pPr>
        <w:ind w:left="180" w:right="880" w:hanging="172"/>
        <w:spacing w:after="0" w:line="242" w:lineRule="auto"/>
        <w:tabs>
          <w:tab w:leader="none" w:pos="16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accordance with GAAP, we depreciate our investments in real estate and amortize certain other assets and liabilities. Such depreciation and amortization is not recorded for purposes of determining our NAV.</w:t>
      </w:r>
    </w:p>
    <w:p>
      <w:pPr>
        <w:spacing w:after="0" w:line="1" w:lineRule="exact"/>
        <w:rPr>
          <w:rFonts w:ascii="Times New Roman" w:cs="Times New Roman" w:eastAsia="Times New Roman" w:hAnsi="Times New Roman"/>
          <w:sz w:val="20"/>
          <w:szCs w:val="20"/>
          <w:color w:val="auto"/>
          <w:vertAlign w:val="superscript"/>
        </w:rPr>
      </w:pPr>
    </w:p>
    <w:p>
      <w:pPr>
        <w:ind w:left="180" w:right="20" w:hanging="172"/>
        <w:spacing w:after="0" w:line="243" w:lineRule="auto"/>
        <w:tabs>
          <w:tab w:leader="none" w:pos="16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record straight-line rent and income from sales-type leases in accordance with GAAP. Any resulting receivable or liability is excluded for purposes of determining our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GAAP involves significant judgments and assumptions and requires estimates about matters that are inherently uncertain. These judgments will affect our reported amounts of assets and liabilities and our disclosure of contingent assets and liabilities at the dates of the financial statements and the reported amounts of revenue and expenses during the reporting periods. With different estimates or assumptions, materially different amounts could be reported in our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 of acquired investments in real estate</w:t>
      </w:r>
    </w:p>
    <w:p>
      <w:pPr>
        <w:spacing w:after="0" w:line="10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 xml:space="preserve">Upon the acquisition of a property, we assess the fair value of acquired tangible and intangible assets and liabilities (including land, buildings, tenant improvements, above-market and below-market leases, acquired in-place leases, other identified intangible assets and assumed liabilities) and allocate the purchase price to the acquired assets and assumed liabilities on a relative fair value basis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All expenses related to asset acquisitions are capitalized and allocated among the identified assets. Generally, the most significant portion of the allocation is to the building and land and requires the use of market-based estimates and assumptions.</w:t>
      </w:r>
    </w:p>
    <w:p>
      <w:pPr>
        <w:spacing w:after="0" w:line="8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assess and consider fair value based on estimated cash flow projections that utilize appropriate discount and/or capitalization rates, as well as other available market information. Estimates of future cash flows are based on a number of factors, including the historical operating results, known and anticipated trends, and market and economic conditions. The fair value of the tangible assets of an acquired property considers the value of the property as if it were vacant.</w:t>
      </w:r>
    </w:p>
    <w:p>
      <w:pPr>
        <w:spacing w:after="0" w:line="6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Acquired above-market and below-market leases are recorded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fixed-rate renewal options for below-market leases. Other intangible assets acquired include amounts for in place lease values that are based on our evaluation of the specific characteristics of each tenant’s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 expected lease-up periods, depending on local market conditions. In estimating costs to execute similar leases, we consider leasing commissions, legal and other related expenses. A change in any of the assumptions above, which are subjective, could have a material impact on our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directly affects the following in our condensed consolidated financial statements:</w:t>
      </w:r>
    </w:p>
    <w:p>
      <w:pPr>
        <w:spacing w:after="0" w:line="10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purchase price allocated to the various tangible and intangible assets and liabilities on our Condensed Consolidated Balance Sheets;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allocated to above-market and below-market leases are amortized to rental income over the remaining non-cancelable terms of the respective leases. The amounts allocated to all other tangible and intangible assets are amortized to depreciation or amortization expense. Thus, depending on the amounts allocated between land and depreciable assets, changes in the purchase price allocation among our assets could have a material impact on our net income; and</w:t>
      </w:r>
    </w:p>
    <w:p>
      <w:pPr>
        <w:spacing w:after="0" w:line="6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tangible and intangible assets are depreciated varies greatly, and thus, changes in the amounts allocated to these assets will have a direct impact on our results of operations. Intangible assets are generally amortized over the respective lives of the leases. Also, we depreciate our buildings over a maximum of 40 years, but do not depreciate our land. These differences in timing could have a material impact on our results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review real estate properties (including any related amortizable intangible assets or liabilities) for impairment each quarter or when there is an indicator, including, but not limited to, property operating performance, changes in anticipated holding period and general market conditions, that the value of the real estate properties may be impaired. Our estimate of the expected future cash flows in testing for impairment is subjective and based on, among other things, our estimates regarding future market conditions, rental rates, occupancy levels, costs of tenant improvements, assumptions regarding the residual value of our properties at the end of our anticipated holding period, discount rates, exit capitalization rates and the length of our anticipated holding period. In preparing the projection of undiscounted future cash flows, we estimate exit capitalization rates and market rental rates using information that we obtain from market comparability studies and other comparable sources and apply the undiscounted cash flows against our expected holding period. These assumptions could differ materially from actual results. If changes in our strategy or the market conditions result in a reduction in the holding period and an earlier sale date, an impairment loss could be recognized and such loss could be material. If impairment was indicated, the carrying value of the property would be written down to its estimated fair value based on our best estimate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property's discounted future cash flows using market derived capitalization rates, discount rates and market rental rates applied against our expected hold period.</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evaluated our portfolio, as of September 30, 2026 and December 31, 2025, for impairment indicators. We did not record any impairment losses for the three and nine months ended September 30, 2026 or year ended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Mandatorily Redeemable Instruments</w:t>
      </w:r>
    </w:p>
    <w:p>
      <w:pPr>
        <w:spacing w:after="0" w:line="1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report our Mandatorily Redeemable Instruments as a liability on our Condensed Consolidated Balance Sheets at JPMIM’s cash redemption value. JPMIM’s cash redemption value is determined based on our NAV per Class E unit as of our balance sheet date. For purposes of determining our NAV, our investments in real estate are recorded at fair value based on independent third-party valuations prepared by licensed appraisers in accordance with standard industry practice or in the case of real estate-related and other securities using readily available actively quoted prices.</w:t>
      </w:r>
    </w:p>
    <w:p>
      <w:pPr>
        <w:spacing w:after="0" w:line="6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These fair value estimates of our investments in real estate are particularly important as they are used for the calculation of NAV, which determines the adjustment to the carrying value of our Mandatorily Redeemable Instruments. Significant differences in the fair value of our Mandatorily Redeemable Instruments may result from changes in market conditions that cause our NAV, and thus JPMIM’s redemption value, to increase or decrease during the period which is recorded as a component of Mandatorily redeemable instruments interest costs on our Condensed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real estate debt</w:t>
      </w:r>
    </w:p>
    <w:p>
      <w:pPr>
        <w:spacing w:after="0" w:line="11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Our investments in real estate debt consist of investments in commercial mortgage loans. Our investments in real estate debt are carried at fair value as we elected the fair value option. Investments with readily available, actively quoted prices or for which fair value can be measured from actively quoted prices generally will have a higher degree of market price observability and a lesser degree of judgment used in measuring fair value.</w:t>
      </w:r>
    </w:p>
    <w:p>
      <w:pPr>
        <w:spacing w:after="0" w:line="8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Our real estate debt investments are unlikely to have readily available market quotations. As such, we determine fair value by utilizing or reviewing certain of the following (i) market yield data, (ii) discounted cash flow modeling, (iii) collateral asset performance, (iv) local or macro real estate performance, (v) capital market conditions, (vi) debt yield or loan-to-value ratios and (vii) borrower financial condition and performance. We classify these investments as Level 3 within the valuation hierarchy. Judgments used to determine the fair values of Level 3 instruments are more significant than those required when determining the fair value of instruments classified as Level 1 or 2 due to the inherent uncertainty of the estimates and judgments used. These values may differ materially from the values that would have been used had a ready market for these investments existed. External factors may cause those values and the values of those investments for which readily observable inputs exist, to increase or decrease over time, impacting the value of our investment which is recorded in income from investments in real estate debt on the Condensed Consolidated Statements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exposed to interest rate risk with respect to our variable-rate indebtedness, where an increase in interest rates would directly result in higher interest expense costs. We may seek to manage or mitigate our exposure to interest risk through interest rate protection agreements to fix or cap a portion of our variable rate debt. As of September 30, 2026, the outstanding principal balance of our variable rate indebtedness was $587.4 million.</w:t>
      </w:r>
    </w:p>
    <w:p>
      <w:pPr>
        <w:spacing w:after="0" w:line="8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Certain of our mortgage loans and other indebtedness are variable rate and indexed to SOFR. For the three and nine months ended September 30, 2026, a 10% increase in SOFR would have resulted in an increase in interest expense of $0.6 million and $1.6 million, respectively. We have executed interest rate swaps with an aggregate notional amount of $120.1 million as of September 30, 2026, to hedge the risk of increasing interest rates.</w:t>
      </w:r>
    </w:p>
    <w:p>
      <w:pPr>
        <w:spacing w:after="0" w:line="6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We have invested a portion of our portfolio in floating-rate investments in real estate debt and intend to invest in both fixed- and floating-rate real estate debt investments in the future. For floating-rate investments in real estate debt, our net income will increase or decrease depending on interest rate movements. For the three and nine months ended September 30, 2026, a 10% decrease in the reference rate would have resulted in a decrease in interest income of $0.4 million and $1.0 million, respectively. Additionally, interest rate movement can impact the valuation of real estate debt depending on various aspects of the instrument, including the credit rating, duration and structure of the interest rate payments.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06"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We are exposed to credit risk with respect to the tenants that occupy properties we own. To mitigate this risk, we undertake a credit evaluation of major tenants prior to making an investment. This analysis includes extensive due diligence of a potential tenant’s creditworthiness and business, as well as an assessment of the strategic importance of the property to the tenant’s core business operations.</w:t>
      </w:r>
    </w:p>
    <w:p>
      <w:pPr>
        <w:spacing w:after="0" w:line="14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Additionally, we are exposed to credit risk in the real estate-related debt investments that we make with respect to a borrower’s ability to make required interest and principal payments on scheduled due dates. We manage this risk by conducting a credit analysis prior to making an investment and by actively monitoring our portfolio and the underlying credit quality. In addition, we re-evaluate the credit risk inherent in our investments on a regular basis under fundamental considerations such as gross domestic product, unemployment, interest rates, retail sales, store closing/openings, corporate earnings, housing inventory, affordability and regional home price trends.</w:t>
      </w:r>
    </w:p>
    <w:p>
      <w:pPr>
        <w:spacing w:after="0" w:line="7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Finally, we may be exposed to counterparty credit risk under the terms of a derivative contract. If the fair value of a derivative contract is positive, the counterparty will owe us, which creates credit risk for us. If the fair value of a derivative contract is negative, we will owe the counterparty and, therefore, do not have credit risk. We will seek to minimize the credit risk in derivative instruments by entering into transactions with high-quality counterparties.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market value risk</w:t>
      </w:r>
    </w:p>
    <w:p>
      <w:pPr>
        <w:spacing w:after="0" w:line="11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Real estate property values are subject to volatility and may be adversely affected by a number of factors, including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our “disclosure controls and procedures” (as defined in Rule 13a-15(e)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SEC rules and forms and (b) include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0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involved in any material litigation.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of our Annual Report on Form 10-K for the year ended December 31, 2025 (“2025 Form 10-K”). The risks described in our 2025 Form 10-K are not the only risks facing us. Additional risks and uncertainties not currently known to us or that we currently deem to be immaterial also may materially adversely affect our business, financial condition, and operating results. There have been no material changes to the risk factors disclosed in our 2025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September 1, 2026, we, pursuant to our distribution reinvestment plan, issued 136,585, 11,829 and 26,238 Class E, Class I, and Class Y shares of common stock at prices per share of $11.54, $10.61 and $11.31, respectively, to accredited investors for aggregate purchase prices of $1.58 million, $0.13 million and $0.30 million, respectively.</w:t>
      </w:r>
    </w:p>
    <w:p>
      <w:pPr>
        <w:spacing w:after="0" w:line="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1, 2026, we issued 196,239 and 142,884 Class E and Class Y shares of common stock at prices per share of $11.54 and $11.50, respectively, to accredited investors in private placements for aggregate purchase prices of $2.27 million and $1.64 million, respectively. The aggregate commissions paid in connection with the sale of Class Y shares were $0.03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sales of unregistered securities during the three months ended September 30, 2026 were previously disclosed.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1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adopted a share repurchase plan, whereby on a monthly basis, stockholders may request that we repurchase all or any portion of their shares. We may choose to repurchase all, some or none of the shares that have been requested to be repurchased at the end of any particular month, in our discretion, subject to any limitations in the share repurchase plan. The total amount of aggregate repurchases of our shares is limited to 2% of the aggregate NAV per month (measured using the aggregate NAV attributable to stockholders as of the end of the immediately preceding month) and 5% of the aggregate NAV per calendar quarter (measured using the average aggregate NAV attributable to stockholders as of the end of the immediately preceding three months). Shares are repurchased at a price equal to the transaction price on the applicable repurchase date, subject to any early repurchase deduction. Shares that have not been outstanding for at least one year are repurchased at 98% of the transaction price. In the event we determine to repurchase some but not all of the shares submitted for repurchase during any month, shares submitted for repurchase during such month will be repurchased on a pro rata basis based on the amount requested after we have repurchased all shares for which repurchase was requested due to death or disability and other limited exceptions. All unsatisfied repurchase requests must be resubmitted after the start of the next month or quarter, or upon the recommencement of the share repurchase plan, as applicable. Due to the illiquid nature of investments in real estate, we may not have sufficient liquid resources to fund repurchase requests and have established limitations on the amount of funds we may use for repurchase during any calendar month and quarter. See Note 3 “— Share Repurchase Plan” to our 2025 Form 10-K for additional detail regarding our share repurchase plan.</w:t>
      </w:r>
    </w:p>
    <w:p>
      <w:pPr>
        <w:spacing w:after="0" w:line="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shares of our common stock in the following amounts, which represented all of the share repurchase requests received for the same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67" w:lineRule="exact"/>
        <w:rPr>
          <w:sz w:val="20"/>
          <w:szCs w:val="20"/>
          <w:color w:val="auto"/>
        </w:rPr>
      </w:pPr>
    </w:p>
    <w:p>
      <w:pPr>
        <w:ind w:left="20" w:right="380"/>
        <w:spacing w:after="0" w:line="323" w:lineRule="auto"/>
        <w:rPr>
          <w:sz w:val="20"/>
          <w:szCs w:val="20"/>
          <w:color w:val="auto"/>
        </w:rPr>
      </w:pPr>
      <w:r>
        <w:rPr>
          <w:rFonts w:ascii="Times New Roman" w:cs="Times New Roman" w:eastAsia="Times New Roman" w:hAnsi="Times New Roman"/>
          <w:sz w:val="18"/>
          <w:szCs w:val="18"/>
          <w:color w:val="auto"/>
        </w:rPr>
        <w:t>July 2026 August 2026 September 2026 Total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75"/>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Repurchased</w:t>
            </w:r>
          </w:p>
        </w:tc>
        <w:tc>
          <w:tcPr>
            <w:tcW w:w="100" w:type="dxa"/>
            <w:vAlign w:val="bottom"/>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89"/>
        </w:trPr>
        <w:tc>
          <w:tcPr>
            <w:tcW w:w="1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Repurchases as a</w:t>
            </w:r>
          </w:p>
        </w:tc>
        <w:tc>
          <w:tcPr>
            <w:tcW w:w="13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6"/>
                <w:szCs w:val="16"/>
                <w:color w:val="auto"/>
              </w:rPr>
            </w:pPr>
          </w:p>
        </w:tc>
        <w:tc>
          <w:tcPr>
            <w:tcW w:w="2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Repurchased Under the</w:t>
            </w:r>
          </w:p>
        </w:tc>
        <w:tc>
          <w:tcPr>
            <w:tcW w:w="0" w:type="dxa"/>
            <w:vAlign w:val="bottom"/>
          </w:tcPr>
          <w:p>
            <w:pPr>
              <w:spacing w:after="0"/>
              <w:rPr>
                <w:sz w:val="1"/>
                <w:szCs w:val="1"/>
                <w:color w:val="auto"/>
              </w:rPr>
            </w:pPr>
          </w:p>
        </w:tc>
      </w:tr>
      <w:tr>
        <w:trPr>
          <w:trHeight w:val="175"/>
        </w:trPr>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00" w:type="dxa"/>
            <w:vAlign w:val="bottom"/>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0" w:type="dxa"/>
            <w:vAlign w:val="bottom"/>
          </w:tcPr>
          <w:p>
            <w:pPr>
              <w:spacing w:after="0"/>
              <w:rPr>
                <w:sz w:val="1"/>
                <w:szCs w:val="1"/>
                <w:color w:val="auto"/>
              </w:rPr>
            </w:pPr>
          </w:p>
        </w:tc>
      </w:tr>
      <w:tr>
        <w:trPr>
          <w:trHeight w:val="243"/>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80" w:type="dxa"/>
            <w:vAlign w:val="bottom"/>
          </w:tcPr>
          <w:p>
            <w:pPr>
              <w:spacing w:after="0"/>
              <w:rPr>
                <w:sz w:val="21"/>
                <w:szCs w:val="21"/>
                <w:color w:val="auto"/>
              </w:rPr>
            </w:pPr>
          </w:p>
        </w:tc>
        <w:tc>
          <w:tcPr>
            <w:tcW w:w="17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Percentage of NAV</w:t>
            </w:r>
            <w:r>
              <w:rPr>
                <w:rFonts w:ascii="Times New Roman" w:cs="Times New Roman" w:eastAsia="Times New Roman" w:hAnsi="Times New Roman"/>
                <w:sz w:val="23"/>
                <w:szCs w:val="23"/>
                <w:b w:val="1"/>
                <w:bCs w:val="1"/>
                <w:color w:val="auto"/>
                <w:w w:val="95"/>
                <w:vertAlign w:val="superscript"/>
              </w:rPr>
              <w:t>(1)</w:t>
            </w:r>
          </w:p>
        </w:tc>
        <w:tc>
          <w:tcPr>
            <w:tcW w:w="80" w:type="dxa"/>
            <w:vAlign w:val="bottom"/>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0" w:type="dxa"/>
            <w:vAlign w:val="bottom"/>
          </w:tcPr>
          <w:p>
            <w:pPr>
              <w:spacing w:after="0"/>
              <w:rPr>
                <w:sz w:val="1"/>
                <w:szCs w:val="1"/>
                <w:color w:val="auto"/>
              </w:rPr>
            </w:pPr>
          </w:p>
        </w:tc>
      </w:tr>
      <w:tr>
        <w:trPr>
          <w:trHeight w:val="264"/>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273,896</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0.28%</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273,896</w:t>
            </w:r>
          </w:p>
        </w:tc>
        <w:tc>
          <w:tcPr>
            <w:tcW w:w="100" w:type="dxa"/>
            <w:vAlign w:val="bottom"/>
          </w:tcPr>
          <w:p>
            <w:pPr>
              <w:spacing w:after="0"/>
              <w:rPr>
                <w:sz w:val="22"/>
                <w:szCs w:val="22"/>
                <w:color w:val="auto"/>
              </w:rPr>
            </w:pP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112,614</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112,614</w:t>
            </w:r>
          </w:p>
        </w:tc>
        <w:tc>
          <w:tcPr>
            <w:tcW w:w="100" w:type="dxa"/>
            <w:vAlign w:val="bottom"/>
          </w:tcPr>
          <w:p>
            <w:pPr>
              <w:spacing w:after="0"/>
              <w:rPr>
                <w:sz w:val="23"/>
                <w:szCs w:val="23"/>
                <w:color w:val="auto"/>
              </w:rPr>
            </w:pP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163,545</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163,545</w:t>
            </w:r>
          </w:p>
        </w:tc>
        <w:tc>
          <w:tcPr>
            <w:tcW w:w="100" w:type="dxa"/>
            <w:vAlign w:val="bottom"/>
          </w:tcPr>
          <w:p>
            <w:pPr>
              <w:spacing w:after="0"/>
              <w:rPr>
                <w:sz w:val="23"/>
                <w:szCs w:val="23"/>
                <w:color w:val="auto"/>
              </w:rPr>
            </w:pP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550,055</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550,055</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-367665</wp:posOffset>
            </wp:positionV>
            <wp:extent cx="713232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-719455</wp:posOffset>
            </wp:positionV>
            <wp:extent cx="713232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1580" w:space="720"/>
            <w:col w:w="8940"/>
          </w:cols>
          <w:pgMar w:left="320" w:top="121" w:right="339" w:bottom="1440" w:gutter="0" w:footer="0" w:header="0"/>
          <w:type w:val="continuous"/>
        </w:sectPr>
      </w:pPr>
    </w:p>
    <w:p>
      <w:pPr>
        <w:ind w:left="180" w:right="180" w:hanging="172"/>
        <w:spacing w:after="0" w:line="287" w:lineRule="auto"/>
        <w:tabs>
          <w:tab w:leader="none" w:pos="16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aggregate NAV of shares repurchased under our share repurchase plan over aggregate NAV of all shares outstanding, in each case, based on the NAV as of the last calendar day of the prior month.</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Agreement Renewal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5, 2026, our board of directors approved the renewal of the Advisory Agreement for an additional one-year term expiring December 1,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Advisory Agreement otherwise remain unchanged.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defined in Item 408(c) of Regulation S-K) during the three months ended September 30,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 2026, we, pursuant to our distribution reinvestment plan, issued 137,386, 11,707 and 26,647 Class E, Class I, and Class Y shares of common stock at prices per share of $11.56, $10.61 and $11.32, respectively, to accredited investors for aggregate purchase prices of $1.59 million, $0.12 million and $0.30 million, respectively.</w:t>
      </w:r>
    </w:p>
    <w:p>
      <w:pPr>
        <w:spacing w:after="0" w:line="6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October 1, 2026, we issued 166,060 Class Y shares of common stock at prices per share of $11.53 to accredited investors in private placements for aggregate purchase prices of $1.91 million. The aggregate commissions paid in connection with the sale of Class Y shares were $0.03 million.</w:t>
      </w:r>
    </w:p>
    <w:p>
      <w:pPr>
        <w:spacing w:after="0" w:line="6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November 2, 2026, we, pursuant to our distribution reinvestment plan, issued 137,783, 11,650 and 26,598 Class E, Class I, and Class Y shares of common stock at prices per share of $11.56, $10.61 and $11.32, respectively, to accredited investors for aggregate purchase prices of $1.59 million, $0.12 million and $0.30 million, respectively.</w:t>
      </w:r>
    </w:p>
    <w:p>
      <w:pPr>
        <w:spacing w:after="0" w:line="8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On November 2, 2026, we issued 865 and 236,566 Class E and Class Y shares of common stock at prices per share of $11.56 and $11.45, respectively, to accredited investors in private placements for aggregate purchase prices of $0.01 million and $2.71 million, respectively. The aggregate commissions paid in connection with the sale of Class Y shares were $0.03 million.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gridSpan w:val="31"/>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gridSpan w:val="3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8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37"/>
          </w:tcPr>
          <w:p>
            <w:pPr>
              <w:spacing w:after="0" w:line="183" w:lineRule="exact"/>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Articles of Amendment and Restatement of J.P. Morgan Real Estate Income Trust, Inc., dated June 2, 2022 (filed as Exhibit 3.1 to the Registrant’s</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Registration Statement on Form S-11 filed on June 14, 2022 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Certificate of Correction of Articles of Amendment and Restatement of J.P. Morgan Real Estate Income Trust, Inc., dated June 2, 2022 (filed as</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Exhibit 3.2 to the Registrant’s Registration Statement on Form S-11 filed on June 14, 2022 and incorporated herein by reference).</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Articles of Amendment, dated November 13, 2023 (filed as Exhibit 3.1 to the Registrant’s Current Report on Form 8-K filed on November 16, 2023</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and 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Articles Supplementary, dated November 13, 2023 (filed as Exhibit 3.2 to the Registrant’s Current Report on Form 8-K filed on November 16, 2023</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and incorporated herein by reference).</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Second Articles of Amendment, dated November 13, 2023 (filed as Exhibit 3.3 to the Registrant’s Current Report on Form 8-K filed on November 16,</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2023 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Articles Supplementary, dated April 16, 2024 (filed as Exhibit 3.1 to the Registrant’s Current Report on Form 8-K filed on April 22, 2024 and</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322">
              <w:r>
                <w:rPr>
                  <w:rFonts w:ascii="Times New Roman" w:cs="Times New Roman" w:eastAsia="Times New Roman" w:hAnsi="Times New Roman"/>
                  <w:sz w:val="16"/>
                  <w:szCs w:val="16"/>
                  <w:color w:val="0000FF"/>
                </w:rPr>
                <w:t>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3">
              <w:r>
                <w:rPr>
                  <w:rFonts w:ascii="Times New Roman" w:cs="Times New Roman" w:eastAsia="Times New Roman" w:hAnsi="Times New Roman"/>
                  <w:sz w:val="16"/>
                  <w:szCs w:val="16"/>
                  <w:color w:val="0000FF"/>
                </w:rPr>
                <w:t>Third Articles of Amendment, dated November 7, 2025 (filed as Exhibit 3.7 to the Registrant’s Quarterly Report on Form 10-Q filed on November 13,</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323">
              <w:r>
                <w:rPr>
                  <w:rFonts w:ascii="Times New Roman" w:cs="Times New Roman" w:eastAsia="Times New Roman" w:hAnsi="Times New Roman"/>
                  <w:sz w:val="16"/>
                  <w:szCs w:val="16"/>
                  <w:color w:val="0000FF"/>
                </w:rPr>
                <w:t>2025 and incorporated herein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Bylaws of J.P. Morgan Real Estate Income Trust, Inc. (filed as Exhibit 3.3 to the Registrant’s Registration Statement on Form S-11 filed on June 14,</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324">
              <w:r>
                <w:rPr>
                  <w:rFonts w:ascii="Times New Roman" w:cs="Times New Roman" w:eastAsia="Times New Roman" w:hAnsi="Times New Roman"/>
                  <w:sz w:val="16"/>
                  <w:szCs w:val="16"/>
                  <w:color w:val="0000FF"/>
                </w:rPr>
                <w:t>2022 and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Fourth Amended and Restated Distribution Reinvestment Plan (filed as Exhibit 4.1 to Post-Effective Amendment No. 4 to the Registrant’s</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325">
              <w:r>
                <w:rPr>
                  <w:rFonts w:ascii="Times New Roman" w:cs="Times New Roman" w:eastAsia="Times New Roman" w:hAnsi="Times New Roman"/>
                  <w:sz w:val="16"/>
                  <w:szCs w:val="16"/>
                  <w:color w:val="0000FF"/>
                </w:rPr>
                <w:t>Registration Statement on Form S-11 filed on April 15, 2026 and incorporated herein by reference).</w:t>
              </w:r>
            </w:hyperlink>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Fifth Amended and Restated Advisory Agreement by and among J.P. Morgan Real Estate Income Trust, Inc., J.P. Morgan REIT Operating</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Partnership, L.P. and J.P. Morgan Investment Management Inc., dated August 10, 2026 (filed as Exhibit 10.1 to the Registrant’s Quarterly</w:t>
              </w:r>
            </w:hyperlink>
          </w:p>
        </w:tc>
        <w:tc>
          <w:tcPr>
            <w:tcW w:w="840" w:type="dxa"/>
            <w:vAlign w:val="bottom"/>
            <w:gridSpan w:val="23"/>
          </w:tcPr>
          <w:p>
            <w:pPr>
              <w:spacing w:after="0" w:line="142"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Report on</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326">
              <w:r>
                <w:rPr>
                  <w:rFonts w:ascii="Times New Roman" w:cs="Times New Roman" w:eastAsia="Times New Roman" w:hAnsi="Times New Roman"/>
                  <w:sz w:val="16"/>
                  <w:szCs w:val="16"/>
                  <w:color w:val="0000FF"/>
                </w:rPr>
                <w:t>Form 10-Q filed on August 12, 2026 and incorporated herein by reference).</w:t>
              </w:r>
            </w:hyperlink>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Fourth Amended and Restated Limited Partnership Agreement of J.P. Morgan REIT Operating Partnership, L.P., dated August 10, 2026 (filed as</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327">
              <w:r>
                <w:rPr>
                  <w:rFonts w:ascii="Times New Roman" w:cs="Times New Roman" w:eastAsia="Times New Roman" w:hAnsi="Times New Roman"/>
                  <w:sz w:val="16"/>
                  <w:szCs w:val="16"/>
                  <w:color w:val="0000FF"/>
                </w:rPr>
                <w:t>Exhibit 10.3 to the Registrant’s Quarterly Report on Form 10-Q filed on August 12, 2026 and incorporated herein by reference).</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First Amendment to Credit Agreement, dated May 22, 2026, by and among J.P. Morgan REIT Operating Partnership, L.P., J.P. Morgan Real Estate</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Income Trust, Inc., as parent guarantor, certain subsidiaries of J.P. Morgan REIT Operating Partnership, L.P., as subsidiary guarantors, Truist Bank,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9"/>
          </w:tcPr>
          <w:p>
            <w:pPr>
              <w:ind w:left="20"/>
              <w:spacing w:after="0" w:line="142"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as</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administrative agent, and the lenders party thereto from time to time (filed as Exhibit 10.1 to the Registrant’s Post-Effective Amendment No. 9 to the</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Registrant’s Registration Statement on Form S-11 filed on September 15, 2026 and incorporated herein by reference).</w:t>
              </w:r>
            </w:hyperlink>
          </w:p>
        </w:tc>
        <w:tc>
          <w:tcPr>
            <w:tcW w:w="2040" w:type="dxa"/>
            <w:vAlign w:val="bottom"/>
            <w:tcBorders>
              <w:top w:val="single" w:sz="8" w:color="0000FF"/>
            </w:tcBorders>
            <w:gridSpan w:val="22"/>
          </w:tcPr>
          <w:p>
            <w:pPr>
              <w:spacing w:after="0"/>
              <w:rPr>
                <w:sz w:val="12"/>
                <w:szCs w:val="12"/>
                <w:color w:val="auto"/>
              </w:rPr>
            </w:pPr>
          </w:p>
        </w:tc>
        <w:tc>
          <w:tcPr>
            <w:tcW w:w="1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Increase and Joinder to Credit Agreement, dated August 27, 2026, by and among J.P. Morgan REIT Operating Partnership, L.P., J.P. Morgan Real</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62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37"/>
          </w:tcPr>
          <w:p>
            <w:pPr>
              <w:spacing w:after="0" w:line="142" w:lineRule="exact"/>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Estate Income Trust, Inc., as parent guarantor, certain subsidiaries of J.P. Morgan REIT Operating Partnership, L.P., as subsidiary guarantors, Truist</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Bank, as administrative agent, and the lenders party thereto from time to time (filed as Exhibit 10.1 to the Registrant’s Current Report on Form 8-K</w:t>
              </w:r>
            </w:hyperlink>
          </w:p>
        </w:tc>
        <w:tc>
          <w:tcPr>
            <w:tcW w:w="24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filed on September 1, 2026 and incorporated herein by reference).</w:t>
              </w:r>
            </w:hyperlink>
          </w:p>
        </w:tc>
        <w:tc>
          <w:tcPr>
            <w:tcW w:w="2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5360" w:type="dxa"/>
            <w:vAlign w:val="bottom"/>
            <w:tcBorders>
              <w:top w:val="single" w:sz="8" w:color="0000FF"/>
            </w:tcBorders>
            <w:gridSpan w:val="13"/>
          </w:tcPr>
          <w:p>
            <w:pPr>
              <w:spacing w:after="0"/>
              <w:rPr>
                <w:sz w:val="12"/>
                <w:szCs w:val="12"/>
                <w:color w:val="auto"/>
              </w:rPr>
            </w:pPr>
          </w:p>
        </w:tc>
        <w:tc>
          <w:tcPr>
            <w:tcW w:w="2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5320" w:type="dxa"/>
            <w:vAlign w:val="bottom"/>
            <w:tcBorders>
              <w:top w:val="single" w:sz="8" w:color="0000FF"/>
            </w:tcBorders>
            <w:gridSpan w:val="12"/>
          </w:tcPr>
          <w:p>
            <w:pPr>
              <w:spacing w:after="0"/>
              <w:rPr>
                <w:sz w:val="12"/>
                <w:szCs w:val="12"/>
                <w:color w:val="auto"/>
              </w:rPr>
            </w:pPr>
          </w:p>
        </w:tc>
        <w:tc>
          <w:tcPr>
            <w:tcW w:w="2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4"/>
              </w:rPr>
              <w:t>2002.</w:t>
            </w:r>
          </w:p>
        </w:tc>
        <w:tc>
          <w:tcPr>
            <w:tcW w:w="18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4"/>
              </w:rPr>
              <w:t>2002.</w:t>
            </w:r>
          </w:p>
        </w:tc>
        <w:tc>
          <w:tcPr>
            <w:tcW w:w="18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5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rFonts w:ascii="Times New Roman" w:cs="Times New Roman" w:eastAsia="Times New Roman" w:hAnsi="Times New Roman"/>
                <w:sz w:val="16"/>
                <w:szCs w:val="16"/>
                <w:color w:val="0000FF"/>
              </w:rPr>
            </w:pPr>
            <w:hyperlink r:id="rId330">
              <w:r>
                <w:rPr>
                  <w:rFonts w:ascii="Times New Roman" w:cs="Times New Roman" w:eastAsia="Times New Roman" w:hAnsi="Times New Roman"/>
                  <w:sz w:val="16"/>
                  <w:szCs w:val="16"/>
                  <w:color w:val="0000FF"/>
                </w:rPr>
                <w:t>Policy with Respect to Repurchase of Adviser Shares (filed as Exhibit 99.1 to the Registrant’s Post-Effective Amendment No. 8 to the Registrant’s</w:t>
              </w:r>
            </w:hyperlink>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330">
              <w:r>
                <w:rPr>
                  <w:rFonts w:ascii="Times New Roman" w:cs="Times New Roman" w:eastAsia="Times New Roman" w:hAnsi="Times New Roman"/>
                  <w:sz w:val="16"/>
                  <w:szCs w:val="16"/>
                  <w:color w:val="0000FF"/>
                </w:rPr>
                <w:t>Registration Statement on Form S-11 filed on August 14, 2026 and incorporated herein by reference).</w:t>
              </w:r>
            </w:hyperlink>
          </w:p>
        </w:tc>
        <w:tc>
          <w:tcPr>
            <w:tcW w:w="2920" w:type="dxa"/>
            <w:vAlign w:val="bottom"/>
            <w:tcBorders>
              <w:top w:val="single" w:sz="8" w:color="0000FF"/>
            </w:tcBorders>
            <w:gridSpan w:val="15"/>
          </w:tcPr>
          <w:p>
            <w:pPr>
              <w:spacing w:after="0"/>
              <w:rPr>
                <w:sz w:val="12"/>
                <w:szCs w:val="12"/>
                <w:color w:val="auto"/>
              </w:rPr>
            </w:pPr>
          </w:p>
        </w:tc>
        <w:tc>
          <w:tcPr>
            <w:tcW w:w="3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9"/>
                <w:szCs w:val="19"/>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243"/>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8"/>
              </w:rPr>
              <w:t>101.SCH</w:t>
            </w:r>
          </w:p>
        </w:tc>
        <w:tc>
          <w:tcPr>
            <w:tcW w:w="20" w:type="dxa"/>
            <w:vAlign w:val="bottom"/>
          </w:tcPr>
          <w:p>
            <w:pPr>
              <w:spacing w:after="0"/>
              <w:rPr>
                <w:sz w:val="21"/>
                <w:szCs w:val="21"/>
                <w:color w:val="auto"/>
              </w:rPr>
            </w:pPr>
          </w:p>
        </w:tc>
        <w:tc>
          <w:tcPr>
            <w:tcW w:w="9820" w:type="dxa"/>
            <w:vAlign w:val="bottom"/>
            <w:gridSpan w:val="37"/>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440" w:hanging="892"/>
        <w:spacing w:after="0"/>
        <w:tabs>
          <w:tab w:leader="none" w:pos="14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32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9429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tc>
      </w:tr>
      <w:tr>
        <w:trPr>
          <w:trHeight w:val="50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Chad Tredway</w:t>
            </w:r>
          </w:p>
        </w:tc>
      </w:tr>
      <w:tr>
        <w:trPr>
          <w:trHeight w:val="237"/>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Chad Tredway</w:t>
            </w:r>
          </w:p>
        </w:tc>
      </w:tr>
      <w:tr>
        <w:trPr>
          <w:trHeight w:val="243"/>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Chairperson of the Board and Chief Executive Officer</w:t>
            </w:r>
          </w:p>
        </w:tc>
      </w:tr>
      <w:tr>
        <w:trPr>
          <w:trHeight w:val="243"/>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Lawrence A. Goodfield, Jr.</w:t>
            </w:r>
          </w:p>
        </w:tc>
      </w:tr>
      <w:tr>
        <w:trPr>
          <w:trHeight w:val="237"/>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A. Goodfield, Jr.</w:t>
            </w:r>
          </w:p>
        </w:tc>
      </w:tr>
      <w:tr>
        <w:trPr>
          <w:trHeight w:val="243"/>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43"/>
        </w:trPr>
        <w:tc>
          <w:tcPr>
            <w:tcW w:w="37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Tredway, certify that:</w:t>
      </w:r>
    </w:p>
    <w:p>
      <w:pPr>
        <w:spacing w:after="0" w:line="117" w:lineRule="exact"/>
        <w:rPr>
          <w:sz w:val="20"/>
          <w:szCs w:val="20"/>
          <w:color w:val="auto"/>
        </w:rPr>
      </w:pPr>
    </w:p>
    <w:p>
      <w:pPr>
        <w:ind w:left="1140" w:hanging="1132"/>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J.P. Morgan Real Estate Income Trust, Inc.;</w:t>
      </w:r>
    </w:p>
    <w:p>
      <w:pPr>
        <w:spacing w:after="0" w:line="103" w:lineRule="exact"/>
        <w:rPr>
          <w:rFonts w:ascii="Times New Roman" w:cs="Times New Roman" w:eastAsia="Times New Roman" w:hAnsi="Times New Roman"/>
          <w:sz w:val="18"/>
          <w:szCs w:val="18"/>
          <w:color w:val="auto"/>
        </w:rPr>
      </w:pPr>
    </w:p>
    <w:p>
      <w:pPr>
        <w:ind w:left="1140" w:right="100" w:hanging="1132"/>
        <w:spacing w:after="0" w:line="258"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1132"/>
        <w:spacing w:after="0" w:line="296" w:lineRule="auto"/>
        <w:tabs>
          <w:tab w:leader="none" w:pos="1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7"/>
          <w:szCs w:val="17"/>
          <w:color w:val="auto"/>
        </w:rPr>
      </w:pPr>
    </w:p>
    <w:p>
      <w:pPr>
        <w:ind w:left="1140" w:right="260" w:hanging="1132"/>
        <w:spacing w:after="0" w:line="260" w:lineRule="auto"/>
        <w:tabs>
          <w:tab w:leader="none" w:pos="11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7" w:lineRule="exact"/>
        <w:rPr>
          <w:rFonts w:ascii="Times New Roman" w:cs="Times New Roman" w:eastAsia="Times New Roman" w:hAnsi="Times New Roman"/>
          <w:sz w:val="17"/>
          <w:szCs w:val="17"/>
          <w:color w:val="auto"/>
        </w:rPr>
      </w:pPr>
    </w:p>
    <w:p>
      <w:pPr>
        <w:ind w:left="2280" w:right="20" w:hanging="1138"/>
        <w:spacing w:after="0" w:line="250" w:lineRule="auto"/>
        <w:tabs>
          <w:tab w:leader="none" w:pos="22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2280" w:right="440" w:hanging="1138"/>
        <w:spacing w:after="0" w:line="272" w:lineRule="auto"/>
        <w:tabs>
          <w:tab w:leader="none" w:pos="227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280" w:right="320" w:hanging="1138"/>
        <w:spacing w:after="0" w:line="250" w:lineRule="auto"/>
        <w:tabs>
          <w:tab w:leader="none" w:pos="22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280" w:right="40" w:hanging="1138"/>
        <w:spacing w:after="0" w:line="250" w:lineRule="auto"/>
        <w:tabs>
          <w:tab w:leader="none" w:pos="22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1140" w:right="340" w:hanging="1132"/>
        <w:spacing w:after="0" w:line="25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8"/>
          <w:szCs w:val="18"/>
          <w:color w:val="auto"/>
        </w:rPr>
      </w:pPr>
    </w:p>
    <w:p>
      <w:pPr>
        <w:ind w:left="2280" w:right="240" w:hanging="1138"/>
        <w:spacing w:after="0" w:line="250" w:lineRule="auto"/>
        <w:tabs>
          <w:tab w:leader="none" w:pos="227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2280" w:right="620" w:hanging="1138"/>
        <w:spacing w:after="0" w:line="266" w:lineRule="auto"/>
        <w:tabs>
          <w:tab w:leader="none" w:pos="22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5360" w:val="left"/>
          <w:tab w:leader="none" w:pos="58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Tredway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036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5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Chad Tredway</w:t>
      </w:r>
    </w:p>
    <w:p>
      <w:pPr>
        <w:spacing w:after="0" w:line="6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Chairperson of the Board and Chief Executive Officer</w:t>
      </w:r>
    </w:p>
    <w:p>
      <w:pPr>
        <w:spacing w:after="0" w:line="6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92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A. Goodfield Jr., certify that:</w:t>
      </w:r>
    </w:p>
    <w:p>
      <w:pPr>
        <w:spacing w:after="0" w:line="117" w:lineRule="exact"/>
        <w:rPr>
          <w:sz w:val="20"/>
          <w:szCs w:val="20"/>
          <w:color w:val="auto"/>
        </w:rPr>
      </w:pPr>
    </w:p>
    <w:p>
      <w:pPr>
        <w:ind w:left="1140" w:hanging="113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J.P. Morgan Real Estate Income Trust, Inc.;</w:t>
      </w:r>
    </w:p>
    <w:p>
      <w:pPr>
        <w:spacing w:after="0" w:line="103" w:lineRule="exact"/>
        <w:rPr>
          <w:rFonts w:ascii="Times New Roman" w:cs="Times New Roman" w:eastAsia="Times New Roman" w:hAnsi="Times New Roman"/>
          <w:sz w:val="18"/>
          <w:szCs w:val="18"/>
          <w:color w:val="auto"/>
        </w:rPr>
      </w:pPr>
    </w:p>
    <w:p>
      <w:pPr>
        <w:ind w:left="1140" w:right="100" w:hanging="1132"/>
        <w:spacing w:after="0" w:line="25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140" w:right="380" w:hanging="1132"/>
        <w:spacing w:after="0" w:line="296" w:lineRule="auto"/>
        <w:tabs>
          <w:tab w:leader="none" w:pos="11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7"/>
          <w:szCs w:val="17"/>
          <w:color w:val="auto"/>
        </w:rPr>
      </w:pPr>
    </w:p>
    <w:p>
      <w:pPr>
        <w:ind w:left="1140" w:right="260" w:hanging="1132"/>
        <w:spacing w:after="0" w:line="260" w:lineRule="auto"/>
        <w:tabs>
          <w:tab w:leader="none" w:pos="11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7" w:lineRule="exact"/>
        <w:rPr>
          <w:rFonts w:ascii="Times New Roman" w:cs="Times New Roman" w:eastAsia="Times New Roman" w:hAnsi="Times New Roman"/>
          <w:sz w:val="17"/>
          <w:szCs w:val="17"/>
          <w:color w:val="auto"/>
        </w:rPr>
      </w:pPr>
    </w:p>
    <w:p>
      <w:pPr>
        <w:ind w:left="2280" w:right="20" w:hanging="1138"/>
        <w:spacing w:after="0" w:line="250" w:lineRule="auto"/>
        <w:tabs>
          <w:tab w:leader="none" w:pos="22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2280" w:right="440" w:hanging="1138"/>
        <w:spacing w:after="0" w:line="272" w:lineRule="auto"/>
        <w:tabs>
          <w:tab w:leader="none" w:pos="227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ind w:left="2280" w:right="320" w:hanging="1138"/>
        <w:spacing w:after="0" w:line="250" w:lineRule="auto"/>
        <w:tabs>
          <w:tab w:leader="none" w:pos="22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280" w:right="40" w:hanging="1138"/>
        <w:spacing w:after="0" w:line="250" w:lineRule="auto"/>
        <w:tabs>
          <w:tab w:leader="none" w:pos="22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1140" w:right="340" w:hanging="1132"/>
        <w:spacing w:after="0" w:line="250"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8"/>
          <w:szCs w:val="18"/>
          <w:color w:val="auto"/>
        </w:rPr>
      </w:pPr>
    </w:p>
    <w:p>
      <w:pPr>
        <w:ind w:left="2280" w:right="240" w:hanging="1138"/>
        <w:spacing w:after="0" w:line="250" w:lineRule="auto"/>
        <w:tabs>
          <w:tab w:leader="none" w:pos="227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2280" w:right="620" w:hanging="1138"/>
        <w:spacing w:after="0" w:line="266" w:lineRule="auto"/>
        <w:tabs>
          <w:tab w:leader="none" w:pos="227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360" w:val="left"/>
          <w:tab w:leader="none" w:pos="58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036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2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Lawrence A. Goodfield, Jr.</w:t>
      </w:r>
    </w:p>
    <w:p>
      <w:pPr>
        <w:spacing w:after="0" w:line="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ectPr>
          <w:pgSz w:w="11900" w:h="16838" w:orient="portrait"/>
          <w:cols w:equalWidth="0" w:num="1">
            <w:col w:w="11240"/>
          </w:cols>
          <w:pgMar w:left="320" w:top="92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J.P. Morgan Real Estate Income Trust, Inc. (the “Company”) on Form 10-Q for the period ending September 30, 2026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060" w:hanging="404"/>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60" w:right="600" w:hanging="404"/>
        <w:spacing w:after="0" w:line="282" w:lineRule="auto"/>
        <w:tabs>
          <w:tab w:leader="none" w:pos="10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9" w:lineRule="exact"/>
        <w:rPr>
          <w:sz w:val="20"/>
          <w:szCs w:val="20"/>
          <w:color w:val="auto"/>
        </w:rPr>
      </w:pPr>
    </w:p>
    <w:p>
      <w:pPr>
        <w:ind w:left="20"/>
        <w:spacing w:after="0"/>
        <w:tabs>
          <w:tab w:leader="none" w:pos="5360" w:val="left"/>
          <w:tab w:leader="none" w:pos="58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Tredway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036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403600" cy="8890"/>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Chad Tredway</w:t>
      </w:r>
    </w:p>
    <w:p>
      <w:pPr>
        <w:spacing w:after="0" w:line="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Chairperson of the Board and Chief Executive Officer</w:t>
      </w:r>
    </w:p>
    <w:p>
      <w:pPr>
        <w:spacing w:after="0" w:line="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92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J.P. Morgan Real Estate Income Trust, Inc. (the “Company”) on Form 10-Q for the period ending September 30, 2026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060" w:hanging="323"/>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60" w:right="600" w:hanging="323"/>
        <w:spacing w:after="0" w:line="282" w:lineRule="auto"/>
        <w:tabs>
          <w:tab w:leader="none" w:pos="10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360" w:val="left"/>
          <w:tab w:leader="none" w:pos="58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036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2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Lawrence A. Goodfield, Jr.</w:t>
      </w:r>
    </w:p>
    <w:p>
      <w:pPr>
        <w:spacing w:after="0" w:line="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3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3"/>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8"/>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lowerRoman"/>
      <w:start w:val="2"/>
    </w:lvl>
  </w:abstractNum>
  <w:abstractNum w:abstractNumId="11">
    <w:nsid w:val="836C40E"/>
    <w:multiLevelType w:val="hybridMultilevel"/>
    <w:lvl w:ilvl="0">
      <w:lvlJc w:val="left"/>
      <w:lvlText w:val="%1."/>
      <w:numFmt w:val="decimal"/>
      <w:start w:val="9"/>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2"/>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7"/>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Roman"/>
      <w:start w:val="5"/>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lvl w:ilvl="1">
      <w:lvlJc w:val="left"/>
      <w:lvlText w:val="%2"/>
      <w:numFmt w:val="decimal"/>
      <w:start w:val="104"/>
    </w:lvl>
  </w:abstractNum>
  <w:abstractNum w:abstractNumId="40">
    <w:nsid w:val="2A487CB0"/>
    <w:multiLevelType w:val="hybridMultilevel"/>
    <w:lvl w:ilvl="0">
      <w:lvlJc w:val="left"/>
      <w:lvlText w:val="**"/>
      <w:numFmt w:val="bullet"/>
      <w:start w:val="1"/>
    </w:lvl>
    <w:lvl w:ilvl="1">
      <w:lvlJc w:val="left"/>
      <w:lvlText w:val="%2"/>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17" Type="http://schemas.openxmlformats.org/officeDocument/2006/relationships/hyperlink" Target="https://www.sec.gov/Archives/edgar/data/1893262/000119312522173881/d256945dex31.htm" TargetMode="External"/><Relationship Id="rId318" Type="http://schemas.openxmlformats.org/officeDocument/2006/relationships/hyperlink" Target="https://www.sec.gov/Archives/edgar/data/1893262/000119312522173881/d256945dex32.htm" TargetMode="External"/><Relationship Id="rId319" Type="http://schemas.openxmlformats.org/officeDocument/2006/relationships/hyperlink" Target="https://www.sec.gov/Archives/edgar/data/1893262/000095017023064432/ck0001893262-ex3_1.htm" TargetMode="External"/><Relationship Id="rId320" Type="http://schemas.openxmlformats.org/officeDocument/2006/relationships/hyperlink" Target="https://www.sec.gov/Archives/edgar/data/1893262/000095017023064432/ck0001893262-ex3_2.htm" TargetMode="External"/><Relationship Id="rId321" Type="http://schemas.openxmlformats.org/officeDocument/2006/relationships/hyperlink" Target="https://www.sec.gov/Archives/edgar/data/1893262/000095017023064432/ck0001893262-ex3_3.htm" TargetMode="External"/><Relationship Id="rId322" Type="http://schemas.openxmlformats.org/officeDocument/2006/relationships/hyperlink" Target="https://www.sec.gov/Archives/edgar/data/1893262/000095017024046379/ck0001893262-ex3_1.htm" TargetMode="External"/><Relationship Id="rId323" Type="http://schemas.openxmlformats.org/officeDocument/2006/relationships/hyperlink" Target="https://www.sec.gov/Archives/edgar/data/1893262/000119312525278091/ck0001893262-ex3_7.htm" TargetMode="External"/><Relationship Id="rId324" Type="http://schemas.openxmlformats.org/officeDocument/2006/relationships/hyperlink" Target="https://www.sec.gov/Archives/edgar/data/1893262/000119312522173881/d256945dex33.htm?secureweb=WINWORD" TargetMode="External"/><Relationship Id="rId325" Type="http://schemas.openxmlformats.org/officeDocument/2006/relationships/hyperlink" Target="https://www.sec.gov/Archives/edgar/data/1893262/000162828026025231/jpmreit-posam.htm#i3333352d75f64b9f98eb2d63ed54d4fa_94" TargetMode="External"/><Relationship Id="rId326" Type="http://schemas.openxmlformats.org/officeDocument/2006/relationships/hyperlink" Target="https://www.sec.gov/Archives/edgar/data/1893262/000162828026056009/jpmreitq2202610q-ex101.htm?secureweb=WINWORD" TargetMode="External"/><Relationship Id="rId327" Type="http://schemas.openxmlformats.org/officeDocument/2006/relationships/hyperlink" Target="https://www.sec.gov/Archives/edgar/data/1893262/000162828026056009/jpmreitq2202610q-ex103.htm?secureweb=WINWORD" TargetMode="External"/><Relationship Id="rId328" Type="http://schemas.openxmlformats.org/officeDocument/2006/relationships/hyperlink" Target="https://www.sec.gov/Archives/edgar/data/1893262/000162828026062030/exhibit101toposex-jpmreitx.htm?secureweb=WINWORD" TargetMode="External"/><Relationship Id="rId329" Type="http://schemas.openxmlformats.org/officeDocument/2006/relationships/hyperlink" Target="https://www.sec.gov/Archives/edgar/data/1893262/000162828026059860/exhibit101-jpmreitxincreas.htm?secureweb=WINWORD" TargetMode="External"/><Relationship Id="rId330" Type="http://schemas.openxmlformats.org/officeDocument/2006/relationships/hyperlink" Target="https://www.sec.gov/Archives/edgar/data/1893262/000162828026057009/jpmreit-20260814xex991.htm?secureweb=WINWORD"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2026-11-06T15:57:03Z</dcterms:created>
  <dcterms:modified xsi:type="dcterms:W3CDTF">2026-11-06T15:57:03Z</dcterms:modified>
</cp:coreProperties>
</file>