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424(b)(3)</w:t>
      </w:r>
    </w:p>
    <w:p>
      <w:pPr>
        <w:spacing w:after="0" w:line="25"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5"/>
          <w:szCs w:val="15"/>
          <w:b w:val="1"/>
          <w:bCs w:val="1"/>
          <w:color w:val="auto"/>
        </w:rPr>
        <w:t>Registration No. 333-288565</w:t>
      </w:r>
    </w:p>
    <w:p>
      <w:pPr>
        <w:spacing w:after="0" w:line="1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SUPPLEMENT NO. 2 DATED MAY 19, 2026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THE PROSPECTUS DATED APRIL 15, 2026</w:t>
      </w:r>
    </w:p>
    <w:p>
      <w:pPr>
        <w:spacing w:after="0" w:line="83"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purposes of this Supplement are as follows:</w:t>
      </w:r>
    </w:p>
    <w:p>
      <w:pPr>
        <w:spacing w:after="0" w:line="97" w:lineRule="exact"/>
        <w:rPr>
          <w:sz w:val="24"/>
          <w:szCs w:val="24"/>
          <w:color w:val="auto"/>
        </w:rPr>
      </w:pPr>
    </w:p>
    <w:p>
      <w:pPr>
        <w:ind w:left="1040" w:hanging="458"/>
        <w:spacing w:after="0"/>
        <w:tabs>
          <w:tab w:leader="none" w:pos="10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disclose certain updates to our Prospectus; and</w:t>
      </w:r>
    </w:p>
    <w:p>
      <w:pPr>
        <w:spacing w:after="0" w:line="108" w:lineRule="exact"/>
        <w:rPr>
          <w:rFonts w:ascii="Times New Roman" w:cs="Times New Roman" w:eastAsia="Times New Roman" w:hAnsi="Times New Roman"/>
          <w:sz w:val="15"/>
          <w:szCs w:val="15"/>
          <w:color w:val="auto"/>
        </w:rPr>
      </w:pPr>
    </w:p>
    <w:p>
      <w:pPr>
        <w:ind w:left="1040" w:hanging="458"/>
        <w:spacing w:after="0"/>
        <w:tabs>
          <w:tab w:leader="none" w:pos="10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our Quarterly Report on Form 10-Q for the quarterly period ended March 31, 2026.</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Updates to the Prospectus</w:t>
      </w:r>
    </w:p>
    <w:p>
      <w:pPr>
        <w:spacing w:after="0" w:line="101" w:lineRule="exact"/>
        <w:rPr>
          <w:sz w:val="24"/>
          <w:szCs w:val="24"/>
          <w:color w:val="auto"/>
        </w:rPr>
      </w:pPr>
    </w:p>
    <w:p>
      <w:pPr>
        <w:jc w:val="both"/>
        <w:ind w:right="100"/>
        <w:spacing w:after="0" w:line="264" w:lineRule="auto"/>
        <w:rPr>
          <w:sz w:val="20"/>
          <w:szCs w:val="20"/>
          <w:color w:val="auto"/>
        </w:rPr>
      </w:pPr>
      <w:r>
        <w:rPr>
          <w:rFonts w:ascii="Times New Roman" w:cs="Times New Roman" w:eastAsia="Times New Roman" w:hAnsi="Times New Roman"/>
          <w:sz w:val="15"/>
          <w:szCs w:val="15"/>
          <w:color w:val="auto"/>
        </w:rPr>
        <w:t>On May 14, 2026, our board of director adopted an Amended and Restated Independent Director Compensation Policy (the “Amended Compensation Policy”) to be effective as of July 1, 2026, which replaces the Independent Director Compensation Policy adopted by our board of directors on June 1, 2022. The Amended Compensation Policy increases the annual retainer for our independent directors from $75,000 to $100,000.</w:t>
      </w:r>
    </w:p>
    <w:p>
      <w:pPr>
        <w:spacing w:after="0" w:line="57" w:lineRule="exact"/>
        <w:rPr>
          <w:sz w:val="24"/>
          <w:szCs w:val="24"/>
          <w:color w:val="auto"/>
        </w:rPr>
      </w:pPr>
    </w:p>
    <w:p>
      <w:pPr>
        <w:jc w:val="both"/>
        <w:ind w:right="80"/>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disclosure supersedes and replaces the first paragraph of the section of the Prospectus titled “Management —Compensation of Directors” and all other similar disclosures in the Prospectus regarding the compensation of directors.</w:t>
      </w:r>
    </w:p>
    <w:p>
      <w:pPr>
        <w:spacing w:after="0" w:line="47" w:lineRule="exact"/>
        <w:rPr>
          <w:sz w:val="24"/>
          <w:szCs w:val="24"/>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We compensate each of our independent directors with an annual retainer of $75,000. Effective July 1, 2026, we will compensate each of our independent directors with an annual retainer of $100,000, consisting of $62,500 paid in equal quarterly installments in cash or Class E shares based on the most recent prior month’s NAV, or a combination thereof, at the election of the director, and $37,500 in the form of an annual grant of restricted stock. The restricted stock will vest one year from the date of grant and will be based on the per share price of our common stock offered in the current primary offering at the grant date. In addition, the chairperson of our audit committee receives an additional annual cash retainer of $10,000. We do not intend to pay our directors additional fees for attending board meetings, but we reimburse each of our directors for reasonable out-of-pocket expenses incurred in attending board and committee meetings (including airfare, hotel and food). Our directors who are affiliated with the Adviser or J.P. Morgan do not receive additional compensation for serving on the board of directors or committees thereof.</w:t>
      </w:r>
    </w:p>
    <w:p>
      <w:pPr>
        <w:spacing w:after="0" w:line="67"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15"/>
          <w:szCs w:val="15"/>
          <w:i w:val="1"/>
          <w:iCs w:val="1"/>
          <w:color w:val="auto"/>
        </w:rPr>
        <w:t>The section of the Prospectus “Management—The Adviser and J.P. Morgan” is updated to (1) remove the name and biography of Thomas V. Kennedy and (2) add Alex Y. Wang as a member of the Real Estate Americas Equity Investment Committee. Mr. Wang’s biography is below.</w:t>
      </w:r>
    </w:p>
    <w:p>
      <w:pPr>
        <w:spacing w:after="0" w:line="47" w:lineRule="exact"/>
        <w:rPr>
          <w:sz w:val="24"/>
          <w:szCs w:val="24"/>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Alex Y. Wang serves as a senior member of the U.S. Real Estate Research and Data Science team at JPMAM – Real Estate Americas. Mr. Wang is responsible for research on the Northeast region of the United States and prepares rent growth and appreciation forecasts to support investment and portfolio management decision-making. Prior to joining JPMAM in 2023, Mr. Wang worked as an economist at CBRE for five years. Mr. Wang holds both a B.A. and an M.B.A in Economics from the George Washington University in Washington, D.C.</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Quarterly Report for the Quarterly Period Ended March 31, 2026</w:t>
      </w:r>
    </w:p>
    <w:p>
      <w:pPr>
        <w:spacing w:after="0" w:line="101" w:lineRule="exact"/>
        <w:rPr>
          <w:sz w:val="24"/>
          <w:szCs w:val="24"/>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auto"/>
        </w:rPr>
        <w:t>On May 15, 2026, we filed with the SEC our Quarterly Report on Form 10-Q for the quarterly period ended March 31, 2026, a copy of which is attached to this Supplement as Appendix A (without exhibits).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28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62865</wp:posOffset>
            </wp:positionV>
            <wp:extent cx="14255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85090</wp:posOffset>
            </wp:positionV>
            <wp:extent cx="14255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3" w:lineRule="exact"/>
        <w:rPr>
          <w:sz w:val="20"/>
          <w:szCs w:val="20"/>
          <w:color w:val="auto"/>
        </w:rPr>
      </w:pPr>
    </w:p>
    <w:p>
      <w:pPr>
        <w:ind w:left="4140" w:right="3160" w:hanging="4120"/>
        <w:spacing w:after="0" w:line="364" w:lineRule="auto"/>
        <w:tabs>
          <w:tab w:leader="none" w:pos="496"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March 31,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7" w:lineRule="exact"/>
        <w:rPr>
          <w:sz w:val="20"/>
          <w:szCs w:val="20"/>
          <w:color w:val="auto"/>
        </w:rPr>
      </w:pPr>
    </w:p>
    <w:p>
      <w:pPr>
        <w:ind w:left="4100" w:right="3160" w:hanging="4080"/>
        <w:spacing w:after="0" w:line="351" w:lineRule="auto"/>
        <w:tabs>
          <w:tab w:leader="none" w:pos="483" w:val="left"/>
        </w:tabs>
        <w:numPr>
          <w:ilvl w:val="0"/>
          <w:numId w:val="3"/>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Commission File Number: 333-288565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80645</wp:posOffset>
            </wp:positionV>
            <wp:extent cx="14255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J.P. Morgan Real Estate Income Trust, Inc.</w:t>
      </w:r>
    </w:p>
    <w:p>
      <w:pPr>
        <w:sectPr>
          <w:pgSz w:w="11900" w:h="16838" w:orient="portrait"/>
          <w:cols w:equalWidth="0" w:num="1">
            <w:col w:w="11280"/>
          </w:cols>
          <w:pgMar w:left="300" w:top="660" w:right="319" w:bottom="1440" w:gutter="0" w:footer="0" w:header="0"/>
        </w:sectPr>
      </w:pPr>
    </w:p>
    <w:p>
      <w:pPr>
        <w:spacing w:after="0" w:line="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67945</wp:posOffset>
            </wp:positionV>
            <wp:extent cx="14255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180" w:lineRule="exact"/>
        <w:rPr>
          <w:sz w:val="20"/>
          <w:szCs w:val="20"/>
          <w:color w:val="auto"/>
        </w:rPr>
      </w:pPr>
    </w:p>
    <w:p>
      <w:pPr>
        <w:jc w:val="center"/>
        <w:ind w:right="1720"/>
        <w:spacing w:after="0"/>
        <w:rPr>
          <w:sz w:val="20"/>
          <w:szCs w:val="20"/>
          <w:color w:val="auto"/>
        </w:rPr>
      </w:pPr>
      <w:r>
        <w:rPr>
          <w:rFonts w:ascii="Times New Roman" w:cs="Times New Roman" w:eastAsia="Times New Roman" w:hAnsi="Times New Roman"/>
          <w:sz w:val="15"/>
          <w:szCs w:val="15"/>
          <w:b w:val="1"/>
          <w:bCs w:val="1"/>
          <w:color w:val="auto"/>
        </w:rPr>
        <w:t>Maryland</w:t>
      </w:r>
    </w:p>
    <w:p>
      <w:pPr>
        <w:spacing w:after="0" w:line="1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214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b w:val="1"/>
          <w:bCs w:val="1"/>
          <w:color w:val="auto"/>
        </w:rPr>
        <w:t>390 Madison Avenue</w:t>
      </w:r>
    </w:p>
    <w:p>
      <w:pPr>
        <w:spacing w:after="0" w:line="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5"/>
          <w:szCs w:val="15"/>
          <w:b w:val="1"/>
          <w:bCs w:val="1"/>
          <w:color w:val="auto"/>
        </w:rPr>
        <w:t>New York, 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87-3439916</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b w:val="1"/>
          <w:bCs w:val="1"/>
          <w:color w:val="auto"/>
        </w:rPr>
        <w:t>10017</w:t>
      </w:r>
    </w:p>
    <w:p>
      <w:pPr>
        <w:spacing w:after="0" w:line="22" w:lineRule="exact"/>
        <w:rPr>
          <w:sz w:val="20"/>
          <w:szCs w:val="20"/>
          <w:color w:val="auto"/>
        </w:rPr>
      </w:pPr>
    </w:p>
    <w:p>
      <w:pPr>
        <w:sectPr>
          <w:pgSz w:w="11900" w:h="16838" w:orient="portrait"/>
          <w:cols w:equalWidth="0" w:num="2">
            <w:col w:w="7360" w:space="680"/>
            <w:col w:w="3240"/>
          </w:cols>
          <w:pgMar w:left="300" w:top="660" w:right="319" w:bottom="1440" w:gutter="0" w:footer="0" w:header="0"/>
          <w:type w:val="continuous"/>
        </w:sectPr>
      </w:pPr>
    </w:p>
    <w:p>
      <w:pPr>
        <w:ind w:left="1960"/>
        <w:spacing w:after="0"/>
        <w:tabs>
          <w:tab w:leader="none" w:pos="820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4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(212) 270-6000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80645</wp:posOffset>
            </wp:positionV>
            <wp:extent cx="14255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5575" cy="6985"/>
                    </a:xfrm>
                    <a:prstGeom prst="rect">
                      <a:avLst/>
                    </a:prstGeom>
                    <a:noFill/>
                  </pic:spPr>
                </pic:pic>
              </a:graphicData>
            </a:graphic>
          </wp:anchor>
        </w:drawing>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40" w:type="dxa"/>
            <w:vAlign w:val="bottom"/>
          </w:tcPr>
          <w:p>
            <w:pPr>
              <w:spacing w:after="0"/>
              <w:rPr>
                <w:sz w:val="12"/>
                <w:szCs w:val="12"/>
                <w:color w:val="auto"/>
              </w:rPr>
            </w:pPr>
          </w:p>
        </w:tc>
        <w:tc>
          <w:tcPr>
            <w:tcW w:w="2960" w:type="dxa"/>
            <w:vAlign w:val="bottom"/>
            <w:gridSpan w:val="3"/>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80" w:type="dxa"/>
            <w:vAlign w:val="bottom"/>
            <w:vMerge w:val="restart"/>
          </w:tcPr>
          <w:p>
            <w:pPr>
              <w:jc w:val="center"/>
              <w:ind w:right="735"/>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45"/>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3"/>
          </w:tcPr>
          <w:p>
            <w:pPr>
              <w:jc w:val="center"/>
              <w:ind w:right="92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None</w:t>
            </w:r>
          </w:p>
        </w:tc>
        <w:tc>
          <w:tcPr>
            <w:tcW w:w="14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680" w:type="dxa"/>
            <w:vAlign w:val="bottom"/>
            <w:tcBorders>
              <w:top w:val="single" w:sz="8" w:color="auto"/>
            </w:tcBorders>
          </w:tcPr>
          <w:p>
            <w:pPr>
              <w:jc w:val="center"/>
              <w:ind w:right="735"/>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7"/>
        </w:trPr>
        <w:tc>
          <w:tcPr>
            <w:tcW w:w="11280" w:type="dxa"/>
            <w:vAlign w:val="bottom"/>
            <w:gridSpan w:val="6"/>
          </w:tcPr>
          <w:p>
            <w:pPr>
              <w:ind w:left="62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w:t>
            </w:r>
          </w:p>
        </w:tc>
        <w:tc>
          <w:tcPr>
            <w:tcW w:w="0" w:type="dxa"/>
            <w:vAlign w:val="bottom"/>
          </w:tcPr>
          <w:p>
            <w:pPr>
              <w:spacing w:after="0"/>
              <w:rPr>
                <w:sz w:val="1"/>
                <w:szCs w:val="1"/>
                <w:color w:val="auto"/>
              </w:rPr>
            </w:pPr>
          </w:p>
        </w:tc>
      </w:tr>
      <w:tr>
        <w:trPr>
          <w:trHeight w:val="227"/>
        </w:trPr>
        <w:tc>
          <w:tcPr>
            <w:tcW w:w="76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shorter period that the registrant was required to file such reports), and (2) has been subject to such filing requirements for the past 90 days.</w:t>
            </w:r>
          </w:p>
        </w:tc>
        <w:tc>
          <w:tcPr>
            <w:tcW w:w="368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right="240" w:firstLine="601"/>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0"/>
          <w:szCs w:val="20"/>
          <w:color w:val="auto"/>
        </w:rPr>
      </w:pPr>
    </w:p>
    <w:p>
      <w:pPr>
        <w:ind w:firstLine="601"/>
        <w:spacing w:after="0" w:line="29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8"/>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4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40" w:lineRule="exact"/>
        <w:rPr>
          <w:sz w:val="20"/>
          <w:szCs w:val="20"/>
          <w:color w:val="auto"/>
        </w:rPr>
      </w:pPr>
    </w:p>
    <w:p>
      <w:pPr>
        <w:jc w:val="both"/>
        <w:ind w:right="140" w:firstLine="601"/>
        <w:spacing w:after="0" w:line="18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0"/>
          <w:szCs w:val="20"/>
          <w:color w:val="auto"/>
        </w:rPr>
      </w:pPr>
    </w:p>
    <w:p>
      <w:pPr>
        <w:ind w:left="620"/>
        <w:spacing w:after="0" w:line="150" w:lineRule="exact"/>
        <w:tabs>
          <w:tab w:leader="none" w:pos="6880" w:val="left"/>
          <w:tab w:leader="none" w:pos="74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81" w:lineRule="exact"/>
        <w:rPr>
          <w:sz w:val="20"/>
          <w:szCs w:val="20"/>
          <w:color w:val="auto"/>
        </w:rPr>
      </w:pPr>
    </w:p>
    <w:p>
      <w:pPr>
        <w:ind w:right="460" w:firstLine="601"/>
        <w:spacing w:after="0" w:line="309" w:lineRule="auto"/>
        <w:rPr>
          <w:sz w:val="20"/>
          <w:szCs w:val="20"/>
          <w:color w:val="auto"/>
        </w:rPr>
      </w:pPr>
      <w:r>
        <w:rPr>
          <w:rFonts w:ascii="Times New Roman" w:cs="Times New Roman" w:eastAsia="Times New Roman" w:hAnsi="Times New Roman"/>
          <w:sz w:val="13"/>
          <w:szCs w:val="13"/>
          <w:color w:val="auto"/>
        </w:rPr>
        <w:t>As of May 15, 2026, the registrant had outstanding 1,027,295 shares of Class D common stock, 22,698,059 shares of Class I common stock, 63,380,105 shares of Class E common stock and 11,353,567 shares of Class Y common stock. There were no outstanding shares of Class S, Class T or Class X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697230</wp:posOffset>
            </wp:positionV>
            <wp:extent cx="718058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0580"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61595</wp:posOffset>
            </wp:positionV>
            <wp:extent cx="71551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75565</wp:posOffset>
            </wp:positionV>
            <wp:extent cx="7155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660"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317"/>
        </w:trPr>
        <w:tc>
          <w:tcPr>
            <w:tcW w:w="1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5"/>
                <w:szCs w:val="15"/>
                <w:color w:val="0000FF"/>
                <w:w w:val="99"/>
              </w:rPr>
              <w:t>FINANCIAL INFORMATION</w:t>
            </w:r>
          </w:p>
        </w:tc>
        <w:tc>
          <w:tcPr>
            <w:tcW w:w="740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33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5"/>
                <w:szCs w:val="15"/>
                <w:color w:val="0000FF"/>
                <w:w w:val="99"/>
              </w:rPr>
              <w:t>Financial Statements (Unaudited)</w:t>
            </w:r>
          </w:p>
        </w:tc>
        <w:tc>
          <w:tcPr>
            <w:tcW w:w="72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r>
      <w:tr>
        <w:trPr>
          <w:trHeight w:val="160"/>
        </w:trPr>
        <w:tc>
          <w:tcPr>
            <w:tcW w:w="1160" w:type="dxa"/>
            <w:vAlign w:val="bottom"/>
          </w:tcPr>
          <w:p>
            <w:pPr>
              <w:spacing w:after="0"/>
              <w:rPr>
                <w:sz w:val="13"/>
                <w:szCs w:val="13"/>
                <w:color w:val="auto"/>
              </w:rPr>
            </w:pPr>
          </w:p>
        </w:tc>
        <w:tc>
          <w:tcPr>
            <w:tcW w:w="9300" w:type="dxa"/>
            <w:vAlign w:val="bottom"/>
            <w:gridSpan w:val="19"/>
          </w:tcPr>
          <w:p>
            <w:pPr>
              <w:spacing w:after="0" w:line="160" w:lineRule="exact"/>
              <w:rPr>
                <w:sz w:val="20"/>
                <w:szCs w:val="20"/>
                <w:color w:val="auto"/>
              </w:rPr>
            </w:pPr>
            <w:r>
              <w:rPr>
                <w:rFonts w:ascii="Times New Roman" w:cs="Times New Roman" w:eastAsia="Times New Roman" w:hAnsi="Times New Roman"/>
                <w:sz w:val="15"/>
                <w:szCs w:val="15"/>
                <w:color w:val="0000FF"/>
              </w:rPr>
              <w:t>Condensed Consolidated Balance Sheets as of March 31, 2026 and December 31, 2025</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w:t>
            </w: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160" w:type="dxa"/>
            <w:vAlign w:val="bottom"/>
          </w:tcPr>
          <w:p>
            <w:pPr>
              <w:spacing w:after="0"/>
              <w:rPr>
                <w:sz w:val="13"/>
                <w:szCs w:val="13"/>
                <w:color w:val="auto"/>
              </w:rPr>
            </w:pPr>
          </w:p>
        </w:tc>
        <w:tc>
          <w:tcPr>
            <w:tcW w:w="9300" w:type="dxa"/>
            <w:vAlign w:val="bottom"/>
            <w:gridSpan w:val="19"/>
          </w:tcPr>
          <w:p>
            <w:pPr>
              <w:spacing w:after="0" w:line="160" w:lineRule="exact"/>
              <w:rPr>
                <w:sz w:val="20"/>
                <w:szCs w:val="20"/>
                <w:color w:val="auto"/>
              </w:rPr>
            </w:pPr>
            <w:r>
              <w:rPr>
                <w:rFonts w:ascii="Times New Roman" w:cs="Times New Roman" w:eastAsia="Times New Roman" w:hAnsi="Times New Roman"/>
                <w:sz w:val="15"/>
                <w:szCs w:val="15"/>
                <w:color w:val="0000FF"/>
              </w:rPr>
              <w:t>Condensed Consolidated Statements of Operations for the three months ended March 31, 2026 and 2025</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3</w:t>
            </w: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160" w:type="dxa"/>
            <w:vAlign w:val="bottom"/>
          </w:tcPr>
          <w:p>
            <w:pPr>
              <w:spacing w:after="0"/>
              <w:rPr>
                <w:sz w:val="13"/>
                <w:szCs w:val="13"/>
                <w:color w:val="auto"/>
              </w:rPr>
            </w:pPr>
          </w:p>
        </w:tc>
        <w:tc>
          <w:tcPr>
            <w:tcW w:w="6720" w:type="dxa"/>
            <w:vAlign w:val="bottom"/>
            <w:tcBorders>
              <w:bottom w:val="single" w:sz="8" w:color="0000FF"/>
            </w:tcBorders>
            <w:gridSpan w:val="18"/>
          </w:tcPr>
          <w:p>
            <w:pPr>
              <w:spacing w:after="0" w:line="160" w:lineRule="exact"/>
              <w:rPr>
                <w:sz w:val="20"/>
                <w:szCs w:val="20"/>
                <w:color w:val="auto"/>
              </w:rPr>
            </w:pPr>
            <w:r>
              <w:rPr>
                <w:rFonts w:ascii="Times New Roman" w:cs="Times New Roman" w:eastAsia="Times New Roman" w:hAnsi="Times New Roman"/>
                <w:sz w:val="15"/>
                <w:szCs w:val="15"/>
                <w:color w:val="0000FF"/>
                <w:w w:val="99"/>
              </w:rPr>
              <w:t>Condensed Consolidated Statements of Changes in Equity for the three months ended March 31, 2026 and 2025</w:t>
            </w:r>
          </w:p>
        </w:tc>
        <w:tc>
          <w:tcPr>
            <w:tcW w:w="258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4</w:t>
            </w:r>
          </w:p>
        </w:tc>
      </w:tr>
      <w:tr>
        <w:trPr>
          <w:trHeight w:val="160"/>
        </w:trPr>
        <w:tc>
          <w:tcPr>
            <w:tcW w:w="1160" w:type="dxa"/>
            <w:vAlign w:val="bottom"/>
          </w:tcPr>
          <w:p>
            <w:pPr>
              <w:spacing w:after="0"/>
              <w:rPr>
                <w:sz w:val="13"/>
                <w:szCs w:val="13"/>
                <w:color w:val="auto"/>
              </w:rPr>
            </w:pPr>
          </w:p>
        </w:tc>
        <w:tc>
          <w:tcPr>
            <w:tcW w:w="6320" w:type="dxa"/>
            <w:vAlign w:val="bottom"/>
            <w:tcBorders>
              <w:bottom w:val="single" w:sz="8" w:color="0000FF"/>
            </w:tcBorders>
            <w:gridSpan w:val="17"/>
          </w:tcPr>
          <w:p>
            <w:pPr>
              <w:spacing w:after="0" w:line="160" w:lineRule="exact"/>
              <w:rPr>
                <w:sz w:val="20"/>
                <w:szCs w:val="20"/>
                <w:color w:val="auto"/>
              </w:rPr>
            </w:pPr>
            <w:r>
              <w:rPr>
                <w:rFonts w:ascii="Times New Roman" w:cs="Times New Roman" w:eastAsia="Times New Roman" w:hAnsi="Times New Roman"/>
                <w:sz w:val="15"/>
                <w:szCs w:val="15"/>
                <w:color w:val="0000FF"/>
                <w:w w:val="99"/>
              </w:rPr>
              <w:t>Condensed Consolidated Statements of Cash Flows for the three months ended March 31, 2026 and 2025</w:t>
            </w:r>
          </w:p>
        </w:tc>
        <w:tc>
          <w:tcPr>
            <w:tcW w:w="2980" w:type="dxa"/>
            <w:vAlign w:val="bottom"/>
            <w:gridSpan w:val="2"/>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5</w:t>
            </w:r>
          </w:p>
        </w:tc>
      </w:tr>
      <w:tr>
        <w:trPr>
          <w:trHeight w:val="160"/>
        </w:trPr>
        <w:tc>
          <w:tcPr>
            <w:tcW w:w="1160" w:type="dxa"/>
            <w:vAlign w:val="bottom"/>
          </w:tcPr>
          <w:p>
            <w:pPr>
              <w:spacing w:after="0"/>
              <w:rPr>
                <w:sz w:val="13"/>
                <w:szCs w:val="13"/>
                <w:color w:val="auto"/>
              </w:rPr>
            </w:pPr>
          </w:p>
        </w:tc>
        <w:tc>
          <w:tcPr>
            <w:tcW w:w="9300" w:type="dxa"/>
            <w:vAlign w:val="bottom"/>
            <w:gridSpan w:val="19"/>
          </w:tcPr>
          <w:p>
            <w:pPr>
              <w:spacing w:after="0" w:line="160" w:lineRule="exact"/>
              <w:rPr>
                <w:sz w:val="20"/>
                <w:szCs w:val="20"/>
                <w:color w:val="auto"/>
              </w:rPr>
            </w:pPr>
            <w:r>
              <w:rPr>
                <w:rFonts w:ascii="Times New Roman" w:cs="Times New Roman" w:eastAsia="Times New Roman" w:hAnsi="Times New Roman"/>
                <w:sz w:val="15"/>
                <w:szCs w:val="15"/>
                <w:color w:val="0000FF"/>
              </w:rPr>
              <w:t>Notes to Unaudited Condensed Consolidated Financial Statements</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7</w:t>
            </w: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2.</w:t>
            </w:r>
          </w:p>
        </w:tc>
        <w:tc>
          <w:tcPr>
            <w:tcW w:w="9300" w:type="dxa"/>
            <w:vAlign w:val="bottom"/>
            <w:gridSpan w:val="19"/>
          </w:tcPr>
          <w:p>
            <w:pPr>
              <w:spacing w:after="0" w:line="160"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3.</w:t>
            </w:r>
          </w:p>
        </w:tc>
        <w:tc>
          <w:tcPr>
            <w:tcW w:w="3640" w:type="dxa"/>
            <w:vAlign w:val="bottom"/>
            <w:tcBorders>
              <w:top w:val="single" w:sz="8" w:color="0000FF"/>
              <w:bottom w:val="single" w:sz="8" w:color="0000FF"/>
            </w:tcBorders>
            <w:gridSpan w:val="12"/>
          </w:tcPr>
          <w:p>
            <w:pPr>
              <w:spacing w:after="0" w:line="160" w:lineRule="exact"/>
              <w:rPr>
                <w:sz w:val="20"/>
                <w:szCs w:val="20"/>
                <w:color w:val="auto"/>
              </w:rPr>
            </w:pPr>
            <w:r>
              <w:rPr>
                <w:rFonts w:ascii="Times New Roman" w:cs="Times New Roman" w:eastAsia="Times New Roman" w:hAnsi="Times New Roman"/>
                <w:sz w:val="15"/>
                <w:szCs w:val="15"/>
                <w:color w:val="0000FF"/>
                <w:w w:val="99"/>
              </w:rPr>
              <w:t>Quantitative and Qualitative Disclosures About Market Risk</w:t>
            </w:r>
          </w:p>
        </w:tc>
        <w:tc>
          <w:tcPr>
            <w:tcW w:w="1740" w:type="dxa"/>
            <w:vAlign w:val="bottom"/>
            <w:tcBorders>
              <w:top w:val="single" w:sz="8" w:color="0000FF"/>
            </w:tcBorders>
            <w:gridSpan w:val="3"/>
          </w:tcPr>
          <w:p>
            <w:pPr>
              <w:spacing w:after="0"/>
              <w:rPr>
                <w:sz w:val="13"/>
                <w:szCs w:val="13"/>
                <w:color w:val="auto"/>
              </w:rPr>
            </w:pPr>
          </w:p>
        </w:tc>
        <w:tc>
          <w:tcPr>
            <w:tcW w:w="3920" w:type="dxa"/>
            <w:vAlign w:val="bottom"/>
            <w:gridSpan w:val="4"/>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17</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4.</w:t>
            </w:r>
          </w:p>
        </w:tc>
        <w:tc>
          <w:tcPr>
            <w:tcW w:w="1480" w:type="dxa"/>
            <w:vAlign w:val="bottom"/>
            <w:tcBorders>
              <w:bottom w:val="single" w:sz="8" w:color="0000FF"/>
            </w:tcBorders>
            <w:gridSpan w:val="6"/>
          </w:tcPr>
          <w:p>
            <w:pPr>
              <w:spacing w:after="0" w:line="160" w:lineRule="exact"/>
              <w:rPr>
                <w:sz w:val="20"/>
                <w:szCs w:val="20"/>
                <w:color w:val="auto"/>
              </w:rPr>
            </w:pPr>
            <w:r>
              <w:rPr>
                <w:rFonts w:ascii="Times New Roman" w:cs="Times New Roman" w:eastAsia="Times New Roman" w:hAnsi="Times New Roman"/>
                <w:sz w:val="15"/>
                <w:szCs w:val="15"/>
                <w:color w:val="0000FF"/>
                <w:w w:val="98"/>
              </w:rPr>
              <w:t>Controls and Procedures</w:t>
            </w:r>
          </w:p>
        </w:tc>
        <w:tc>
          <w:tcPr>
            <w:tcW w:w="7820" w:type="dxa"/>
            <w:vAlign w:val="bottom"/>
            <w:gridSpan w:val="13"/>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18</w:t>
            </w:r>
          </w:p>
        </w:tc>
      </w:tr>
      <w:tr>
        <w:trPr>
          <w:trHeight w:val="339"/>
        </w:trPr>
        <w:tc>
          <w:tcPr>
            <w:tcW w:w="1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33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11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w w:val="98"/>
              </w:rPr>
              <w:t>Legal Proceedings</w:t>
            </w:r>
          </w:p>
        </w:tc>
        <w:tc>
          <w:tcPr>
            <w:tcW w:w="460" w:type="dxa"/>
            <w:vAlign w:val="bottom"/>
            <w:tcBorders>
              <w:top w:val="single" w:sz="8" w:color="0000FF"/>
            </w:tcBorders>
            <w:gridSpan w:val="2"/>
          </w:tcPr>
          <w:p>
            <w:pPr>
              <w:spacing w:after="0"/>
              <w:rPr>
                <w:sz w:val="24"/>
                <w:szCs w:val="24"/>
                <w:color w:val="auto"/>
              </w:rPr>
            </w:pPr>
          </w:p>
        </w:tc>
        <w:tc>
          <w:tcPr>
            <w:tcW w:w="772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1A.</w:t>
            </w:r>
          </w:p>
        </w:tc>
        <w:tc>
          <w:tcPr>
            <w:tcW w:w="760" w:type="dxa"/>
            <w:vAlign w:val="bottom"/>
            <w:tcBorders>
              <w:bottom w:val="single" w:sz="8" w:color="0000FF"/>
            </w:tcBorders>
            <w:gridSpan w:val="3"/>
          </w:tcPr>
          <w:p>
            <w:pPr>
              <w:spacing w:after="0" w:line="160" w:lineRule="exact"/>
              <w:rPr>
                <w:sz w:val="20"/>
                <w:szCs w:val="20"/>
                <w:color w:val="auto"/>
              </w:rPr>
            </w:pPr>
            <w:r>
              <w:rPr>
                <w:rFonts w:ascii="Times New Roman" w:cs="Times New Roman" w:eastAsia="Times New Roman" w:hAnsi="Times New Roman"/>
                <w:sz w:val="15"/>
                <w:szCs w:val="15"/>
                <w:color w:val="0000FF"/>
                <w:w w:val="98"/>
              </w:rPr>
              <w:t>Risk Factors</w:t>
            </w:r>
          </w:p>
        </w:tc>
        <w:tc>
          <w:tcPr>
            <w:tcW w:w="8540" w:type="dxa"/>
            <w:vAlign w:val="bottom"/>
            <w:gridSpan w:val="16"/>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19</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2.</w:t>
            </w:r>
          </w:p>
        </w:tc>
        <w:tc>
          <w:tcPr>
            <w:tcW w:w="3620" w:type="dxa"/>
            <w:vAlign w:val="bottom"/>
            <w:tcBorders>
              <w:bottom w:val="single" w:sz="8" w:color="0000FF"/>
            </w:tcBorders>
            <w:gridSpan w:val="11"/>
          </w:tcPr>
          <w:p>
            <w:pPr>
              <w:spacing w:after="0" w:line="160" w:lineRule="exact"/>
              <w:rPr>
                <w:sz w:val="20"/>
                <w:szCs w:val="20"/>
                <w:color w:val="auto"/>
              </w:rPr>
            </w:pPr>
            <w:r>
              <w:rPr>
                <w:rFonts w:ascii="Times New Roman" w:cs="Times New Roman" w:eastAsia="Times New Roman" w:hAnsi="Times New Roman"/>
                <w:sz w:val="15"/>
                <w:szCs w:val="15"/>
                <w:color w:val="0000FF"/>
                <w:w w:val="99"/>
              </w:rPr>
              <w:t>Unregistered Sales of Equity Securities and Use of Proceeds</w:t>
            </w:r>
          </w:p>
        </w:tc>
        <w:tc>
          <w:tcPr>
            <w:tcW w:w="5680" w:type="dxa"/>
            <w:vAlign w:val="bottom"/>
            <w:gridSpan w:val="8"/>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19</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3.</w:t>
            </w:r>
          </w:p>
        </w:tc>
        <w:tc>
          <w:tcPr>
            <w:tcW w:w="1940" w:type="dxa"/>
            <w:vAlign w:val="bottom"/>
            <w:tcBorders>
              <w:bottom w:val="single" w:sz="8" w:color="0000FF"/>
            </w:tcBorders>
            <w:gridSpan w:val="9"/>
          </w:tcPr>
          <w:p>
            <w:pPr>
              <w:spacing w:after="0" w:line="160" w:lineRule="exact"/>
              <w:rPr>
                <w:sz w:val="20"/>
                <w:szCs w:val="20"/>
                <w:color w:val="auto"/>
              </w:rPr>
            </w:pPr>
            <w:r>
              <w:rPr>
                <w:rFonts w:ascii="Times New Roman" w:cs="Times New Roman" w:eastAsia="Times New Roman" w:hAnsi="Times New Roman"/>
                <w:sz w:val="15"/>
                <w:szCs w:val="15"/>
                <w:color w:val="0000FF"/>
                <w:w w:val="99"/>
              </w:rPr>
              <w:t>Defaults Upon Senior Securities</w:t>
            </w:r>
          </w:p>
        </w:tc>
        <w:tc>
          <w:tcPr>
            <w:tcW w:w="7360" w:type="dxa"/>
            <w:vAlign w:val="bottom"/>
            <w:gridSpan w:val="10"/>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20</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4.</w:t>
            </w:r>
          </w:p>
        </w:tc>
        <w:tc>
          <w:tcPr>
            <w:tcW w:w="1480" w:type="dxa"/>
            <w:vAlign w:val="bottom"/>
            <w:tcBorders>
              <w:bottom w:val="single" w:sz="8" w:color="0000FF"/>
            </w:tcBorders>
            <w:gridSpan w:val="6"/>
          </w:tcPr>
          <w:p>
            <w:pPr>
              <w:spacing w:after="0" w:line="160" w:lineRule="exact"/>
              <w:rPr>
                <w:sz w:val="20"/>
                <w:szCs w:val="20"/>
                <w:color w:val="auto"/>
              </w:rPr>
            </w:pPr>
            <w:r>
              <w:rPr>
                <w:rFonts w:ascii="Times New Roman" w:cs="Times New Roman" w:eastAsia="Times New Roman" w:hAnsi="Times New Roman"/>
                <w:sz w:val="15"/>
                <w:szCs w:val="15"/>
                <w:color w:val="0000FF"/>
                <w:w w:val="98"/>
              </w:rPr>
              <w:t>Mine Safety Disclosures</w:t>
            </w:r>
          </w:p>
        </w:tc>
        <w:tc>
          <w:tcPr>
            <w:tcW w:w="7820" w:type="dxa"/>
            <w:vAlign w:val="bottom"/>
            <w:gridSpan w:val="13"/>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20</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5.</w:t>
            </w:r>
          </w:p>
        </w:tc>
        <w:tc>
          <w:tcPr>
            <w:tcW w:w="1100" w:type="dxa"/>
            <w:vAlign w:val="bottom"/>
            <w:tcBorders>
              <w:bottom w:val="single" w:sz="8" w:color="0000FF"/>
            </w:tcBorders>
            <w:gridSpan w:val="4"/>
          </w:tcPr>
          <w:p>
            <w:pPr>
              <w:spacing w:after="0" w:line="160" w:lineRule="exact"/>
              <w:rPr>
                <w:sz w:val="20"/>
                <w:szCs w:val="20"/>
                <w:color w:val="auto"/>
              </w:rPr>
            </w:pPr>
            <w:r>
              <w:rPr>
                <w:rFonts w:ascii="Times New Roman" w:cs="Times New Roman" w:eastAsia="Times New Roman" w:hAnsi="Times New Roman"/>
                <w:sz w:val="15"/>
                <w:szCs w:val="15"/>
                <w:color w:val="0000FF"/>
                <w:w w:val="98"/>
              </w:rPr>
              <w:t>Other Information</w:t>
            </w:r>
          </w:p>
        </w:tc>
        <w:tc>
          <w:tcPr>
            <w:tcW w:w="8200" w:type="dxa"/>
            <w:vAlign w:val="bottom"/>
            <w:gridSpan w:val="15"/>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20</w:t>
            </w:r>
          </w:p>
        </w:tc>
      </w:tr>
      <w:tr>
        <w:trPr>
          <w:trHeight w:val="160"/>
        </w:trPr>
        <w:tc>
          <w:tcPr>
            <w:tcW w:w="1160" w:type="dxa"/>
            <w:vAlign w:val="bottom"/>
          </w:tcPr>
          <w:p>
            <w:pPr>
              <w:spacing w:after="0" w:line="160" w:lineRule="exact"/>
              <w:rPr>
                <w:sz w:val="20"/>
                <w:szCs w:val="20"/>
                <w:color w:val="auto"/>
              </w:rPr>
            </w:pPr>
            <w:r>
              <w:rPr>
                <w:rFonts w:ascii="Times New Roman" w:cs="Times New Roman" w:eastAsia="Times New Roman" w:hAnsi="Times New Roman"/>
                <w:sz w:val="15"/>
                <w:szCs w:val="15"/>
                <w:color w:val="auto"/>
              </w:rPr>
              <w:t>Item 6.</w:t>
            </w:r>
          </w:p>
        </w:tc>
        <w:tc>
          <w:tcPr>
            <w:tcW w:w="9300" w:type="dxa"/>
            <w:vAlign w:val="bottom"/>
            <w:gridSpan w:val="19"/>
          </w:tcPr>
          <w:p>
            <w:pPr>
              <w:spacing w:after="0" w:line="160" w:lineRule="exact"/>
              <w:rPr>
                <w:sz w:val="20"/>
                <w:szCs w:val="20"/>
                <w:color w:val="auto"/>
              </w:rPr>
            </w:pPr>
            <w:r>
              <w:rPr>
                <w:rFonts w:ascii="Times New Roman" w:cs="Times New Roman" w:eastAsia="Times New Roman" w:hAnsi="Times New Roman"/>
                <w:sz w:val="15"/>
                <w:szCs w:val="15"/>
                <w:color w:val="0000FF"/>
              </w:rPr>
              <w:t>Exhibits</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21</w:t>
            </w:r>
          </w:p>
        </w:tc>
      </w:tr>
      <w:tr>
        <w:trPr>
          <w:trHeight w:val="20"/>
        </w:trPr>
        <w:tc>
          <w:tcPr>
            <w:tcW w:w="1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1160" w:type="dxa"/>
            <w:vAlign w:val="bottom"/>
          </w:tcPr>
          <w:p>
            <w:pPr>
              <w:spacing w:after="0"/>
              <w:rPr>
                <w:sz w:val="13"/>
                <w:szCs w:val="13"/>
                <w:color w:val="auto"/>
              </w:rPr>
            </w:pPr>
          </w:p>
        </w:tc>
        <w:tc>
          <w:tcPr>
            <w:tcW w:w="640" w:type="dxa"/>
            <w:vAlign w:val="bottom"/>
            <w:tcBorders>
              <w:bottom w:val="single" w:sz="8" w:color="0000FF"/>
            </w:tcBorders>
            <w:gridSpan w:val="2"/>
          </w:tcPr>
          <w:p>
            <w:pPr>
              <w:spacing w:after="0" w:line="160" w:lineRule="exact"/>
              <w:rPr>
                <w:sz w:val="20"/>
                <w:szCs w:val="20"/>
                <w:color w:val="auto"/>
              </w:rPr>
            </w:pPr>
            <w:r>
              <w:rPr>
                <w:rFonts w:ascii="Times New Roman" w:cs="Times New Roman" w:eastAsia="Times New Roman" w:hAnsi="Times New Roman"/>
                <w:sz w:val="15"/>
                <w:szCs w:val="15"/>
                <w:color w:val="0000FF"/>
                <w:w w:val="97"/>
              </w:rPr>
              <w:t>Signatures</w:t>
            </w:r>
          </w:p>
        </w:tc>
        <w:tc>
          <w:tcPr>
            <w:tcW w:w="8660" w:type="dxa"/>
            <w:vAlign w:val="bottom"/>
            <w:gridSpan w:val="17"/>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22</w:t>
            </w: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7"/>
        </w:trPr>
        <w:tc>
          <w:tcPr>
            <w:tcW w:w="3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tc>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41"/>
        </w:trPr>
        <w:tc>
          <w:tcPr>
            <w:tcW w:w="3740" w:type="dxa"/>
            <w:vAlign w:val="bottom"/>
          </w:tcPr>
          <w:p>
            <w:pPr>
              <w:spacing w:after="0"/>
              <w:rPr>
                <w:sz w:val="24"/>
                <w:szCs w:val="24"/>
                <w:color w:val="auto"/>
              </w:rPr>
            </w:pPr>
          </w:p>
        </w:tc>
        <w:tc>
          <w:tcPr>
            <w:tcW w:w="434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9"/>
              </w:rPr>
              <w:t>J.P. Morgan Real Estate Income Trust, Inc.</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0"/>
        </w:trPr>
        <w:tc>
          <w:tcPr>
            <w:tcW w:w="3740" w:type="dxa"/>
            <w:vAlign w:val="bottom"/>
          </w:tcPr>
          <w:p>
            <w:pPr>
              <w:spacing w:after="0"/>
              <w:rPr>
                <w:sz w:val="15"/>
                <w:szCs w:val="15"/>
                <w:color w:val="auto"/>
              </w:rPr>
            </w:pPr>
          </w:p>
        </w:tc>
        <w:tc>
          <w:tcPr>
            <w:tcW w:w="434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9"/>
              </w:rPr>
              <w:t>Condensed Consolidated Balance Sheets (Unaudited)</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7"/>
        </w:trPr>
        <w:tc>
          <w:tcPr>
            <w:tcW w:w="3740" w:type="dxa"/>
            <w:vAlign w:val="bottom"/>
          </w:tcPr>
          <w:p>
            <w:pPr>
              <w:spacing w:after="0"/>
              <w:rPr>
                <w:sz w:val="17"/>
                <w:szCs w:val="17"/>
                <w:color w:val="auto"/>
              </w:rPr>
            </w:pPr>
          </w:p>
        </w:tc>
        <w:tc>
          <w:tcPr>
            <w:tcW w:w="434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w w:val="99"/>
              </w:rPr>
              <w:t>(in thousands, except per-share data)</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41"/>
        </w:trPr>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8"/>
        </w:trPr>
        <w:tc>
          <w:tcPr>
            <w:tcW w:w="3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2026</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71"/>
        </w:trPr>
        <w:tc>
          <w:tcPr>
            <w:tcW w:w="3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ASSETS</w:t>
            </w:r>
          </w:p>
        </w:tc>
        <w:tc>
          <w:tcPr>
            <w:tcW w:w="4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Investments in real estate, net</w:t>
            </w:r>
          </w:p>
        </w:tc>
        <w:tc>
          <w:tcPr>
            <w:tcW w:w="4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1,155,338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1,159,632</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Investments in real estate debt</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304,573</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224,600</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Investments in real estate-related and other securities</w:t>
            </w: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15,095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15,323</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Intangible assets, net</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53,199</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58,548</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15,285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18,416</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Restricted cash</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4,676</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4,689</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Deposits on real estate</w:t>
            </w: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37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Other assets, net</w:t>
            </w:r>
          </w:p>
        </w:tc>
        <w:tc>
          <w:tcPr>
            <w:tcW w:w="40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24,429</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22,310</w:t>
            </w:r>
          </w:p>
        </w:tc>
      </w:tr>
      <w:tr>
        <w:trPr>
          <w:trHeight w:val="171"/>
        </w:trPr>
        <w:tc>
          <w:tcPr>
            <w:tcW w:w="37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434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1,573,595</w:t>
            </w:r>
          </w:p>
        </w:tc>
        <w:tc>
          <w:tcPr>
            <w:tcW w:w="36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1,503,518</w:t>
            </w:r>
          </w:p>
        </w:tc>
      </w:tr>
      <w:tr>
        <w:trPr>
          <w:trHeight w:val="20"/>
        </w:trPr>
        <w:tc>
          <w:tcPr>
            <w:tcW w:w="3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74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LIABILITIES AND EQUITY</w:t>
            </w:r>
          </w:p>
        </w:tc>
        <w:tc>
          <w:tcPr>
            <w:tcW w:w="4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Mortgage notes, net</w:t>
            </w:r>
          </w:p>
        </w:tc>
        <w:tc>
          <w:tcPr>
            <w:tcW w:w="4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363,841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359,445</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Repurchase facility, net</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227,808</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167,863</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Unsecured revolving credit facility</w:t>
            </w: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73,000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73,000</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Intangible liabilities, net</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7,603</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8,435</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Mandatorily redeemable instruments</w:t>
            </w: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22,512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54,794</w:t>
            </w:r>
          </w:p>
        </w:tc>
      </w:tr>
      <w:tr>
        <w:trPr>
          <w:trHeight w:val="180"/>
        </w:trPr>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Due to affiliates</w:t>
            </w:r>
          </w:p>
        </w:tc>
        <w:tc>
          <w:tcPr>
            <w:tcW w:w="4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31,060</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28,969</w:t>
            </w:r>
          </w:p>
        </w:tc>
      </w:tr>
      <w:tr>
        <w:trPr>
          <w:trHeight w:val="180"/>
        </w:trPr>
        <w:tc>
          <w:tcPr>
            <w:tcW w:w="37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4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31,905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26,856</w:t>
            </w:r>
          </w:p>
        </w:tc>
      </w:tr>
      <w:tr>
        <w:trPr>
          <w:trHeight w:val="171"/>
        </w:trPr>
        <w:tc>
          <w:tcPr>
            <w:tcW w:w="374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4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757,729</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719,362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-1182370</wp:posOffset>
            </wp:positionV>
            <wp:extent cx="1143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-6350</wp:posOffset>
            </wp:positionV>
            <wp:extent cx="1143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Commitments and contingencies (Note 17)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15518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w:t>
      </w:r>
    </w:p>
    <w:p>
      <w:pPr>
        <w:spacing w:after="0" w:line="25" w:lineRule="exact"/>
        <w:rPr>
          <w:sz w:val="20"/>
          <w:szCs w:val="20"/>
          <w:color w:val="auto"/>
        </w:rPr>
      </w:pPr>
    </w:p>
    <w:p>
      <w:pPr>
        <w:ind w:left="160" w:right="840"/>
        <w:spacing w:after="0" w:line="249" w:lineRule="auto"/>
        <w:rPr>
          <w:sz w:val="20"/>
          <w:szCs w:val="20"/>
          <w:color w:val="auto"/>
        </w:rPr>
      </w:pPr>
      <w:r>
        <w:rPr>
          <w:rFonts w:ascii="Times New Roman" w:cs="Times New Roman" w:eastAsia="Times New Roman" w:hAnsi="Times New Roman"/>
          <w:sz w:val="15"/>
          <w:szCs w:val="15"/>
          <w:color w:val="auto"/>
        </w:rPr>
        <w:t>Common stock – Class D shares, $0.01 par value per share, 600,000 shares authorized, and 1,013 and 1,009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-226060</wp:posOffset>
            </wp:positionV>
            <wp:extent cx="7155180" cy="227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227965"/>
                    </a:xfrm>
                    <a:prstGeom prst="rect">
                      <a:avLst/>
                    </a:prstGeom>
                    <a:noFill/>
                  </pic:spPr>
                </pic:pic>
              </a:graphicData>
            </a:graphic>
          </wp:anchor>
        </w:drawing>
      </w:r>
    </w:p>
    <w:p>
      <w:pPr>
        <w:ind w:left="160" w:right="640"/>
        <w:spacing w:after="0" w:line="249" w:lineRule="auto"/>
        <w:rPr>
          <w:sz w:val="20"/>
          <w:szCs w:val="20"/>
          <w:color w:val="auto"/>
        </w:rPr>
      </w:pPr>
      <w:r>
        <w:rPr>
          <w:rFonts w:ascii="Times New Roman" w:cs="Times New Roman" w:eastAsia="Times New Roman" w:hAnsi="Times New Roman"/>
          <w:sz w:val="15"/>
          <w:szCs w:val="15"/>
          <w:color w:val="auto"/>
        </w:rPr>
        <w:t>Common stock – Class I shares, $0.01 par value per share, 1,500,000 shares authorized, and 14,542 and 13,949 issued and outstanding as of March 31, 2026 and December 31, 2025, respectively</w:t>
      </w:r>
    </w:p>
    <w:p>
      <w:pPr>
        <w:spacing w:after="0" w:line="1" w:lineRule="exact"/>
        <w:rPr>
          <w:sz w:val="20"/>
          <w:szCs w:val="20"/>
          <w:color w:val="auto"/>
        </w:rPr>
      </w:pPr>
    </w:p>
    <w:p>
      <w:pPr>
        <w:ind w:left="160" w:right="720"/>
        <w:spacing w:after="0" w:line="249" w:lineRule="auto"/>
        <w:rPr>
          <w:sz w:val="20"/>
          <w:szCs w:val="20"/>
          <w:color w:val="auto"/>
        </w:rPr>
      </w:pPr>
      <w:r>
        <w:rPr>
          <w:rFonts w:ascii="Times New Roman" w:cs="Times New Roman" w:eastAsia="Times New Roman" w:hAnsi="Times New Roman"/>
          <w:sz w:val="15"/>
          <w:szCs w:val="15"/>
          <w:color w:val="auto"/>
        </w:rPr>
        <w:t>Common stock – Class E shares, $0.01 par value per share, 600,000 shares authorized, and 58,083 and 55,790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-226060</wp:posOffset>
            </wp:positionV>
            <wp:extent cx="7155180" cy="227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227965"/>
                    </a:xfrm>
                    <a:prstGeom prst="rect">
                      <a:avLst/>
                    </a:prstGeom>
                    <a:noFill/>
                  </pic:spPr>
                </pic:pic>
              </a:graphicData>
            </a:graphic>
          </wp:anchor>
        </w:drawing>
      </w:r>
    </w:p>
    <w:p>
      <w:pPr>
        <w:ind w:left="160" w:right="840"/>
        <w:spacing w:after="0" w:line="259" w:lineRule="auto"/>
        <w:rPr>
          <w:sz w:val="20"/>
          <w:szCs w:val="20"/>
          <w:color w:val="auto"/>
        </w:rPr>
      </w:pPr>
      <w:r>
        <w:rPr>
          <w:rFonts w:ascii="Times New Roman" w:cs="Times New Roman" w:eastAsia="Times New Roman" w:hAnsi="Times New Roman"/>
          <w:sz w:val="15"/>
          <w:szCs w:val="15"/>
          <w:color w:val="auto"/>
        </w:rPr>
        <w:t>Common stock – Class Y shares, $0.01 par value per share, 600,000 shares authorized, and 9,846 and 8,579 issued and outstanding as of March 31, 2026 and December 31, 2025,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715518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Accumulated deficit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257</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w:t>
            </w:r>
          </w:p>
        </w:tc>
      </w:tr>
      <w:tr>
        <w:trPr>
          <w:trHeight w:val="629"/>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10</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359"/>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145</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r>
      <w:tr>
        <w:trPr>
          <w:trHeight w:val="359"/>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581</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r>
      <w:tr>
        <w:trPr>
          <w:trHeight w:val="359"/>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rPr>
              <w:t>99</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256"/>
        </w:trPr>
        <w:tc>
          <w:tcPr>
            <w:tcW w:w="1180" w:type="dxa"/>
            <w:vAlign w:val="bottom"/>
          </w:tcPr>
          <w:p>
            <w:pPr>
              <w:jc w:val="right"/>
              <w:ind w:right="625"/>
              <w:spacing w:after="0"/>
              <w:rPr>
                <w:sz w:val="20"/>
                <w:szCs w:val="20"/>
                <w:color w:val="auto"/>
              </w:rPr>
            </w:pPr>
            <w:r>
              <w:rPr>
                <w:rFonts w:ascii="Times New Roman" w:cs="Times New Roman" w:eastAsia="Times New Roman" w:hAnsi="Times New Roman"/>
                <w:sz w:val="15"/>
                <w:szCs w:val="15"/>
                <w:color w:val="auto"/>
                <w:w w:val="94"/>
              </w:rPr>
              <w:t>889,548</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844,236</w:t>
            </w:r>
          </w:p>
        </w:tc>
      </w:tr>
      <w:tr>
        <w:trPr>
          <w:trHeight w:val="193"/>
        </w:trPr>
        <w:tc>
          <w:tcPr>
            <w:tcW w:w="1180" w:type="dxa"/>
            <w:vAlign w:val="bottom"/>
          </w:tcPr>
          <w:p>
            <w:pPr>
              <w:jc w:val="right"/>
              <w:ind w:right="565"/>
              <w:spacing w:after="0"/>
              <w:rPr>
                <w:sz w:val="20"/>
                <w:szCs w:val="20"/>
                <w:color w:val="auto"/>
              </w:rPr>
            </w:pPr>
            <w:r>
              <w:rPr>
                <w:rFonts w:ascii="Times New Roman" w:cs="Times New Roman" w:eastAsia="Times New Roman" w:hAnsi="Times New Roman"/>
                <w:sz w:val="15"/>
                <w:szCs w:val="15"/>
                <w:color w:val="auto"/>
              </w:rPr>
              <w:t>(87,071)</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(74,128)</w:t>
            </w:r>
          </w:p>
        </w:tc>
      </w:tr>
    </w:tbl>
    <w:p>
      <w:pPr>
        <w:spacing w:after="0" w:line="1" w:lineRule="exact"/>
        <w:rPr>
          <w:sz w:val="20"/>
          <w:szCs w:val="20"/>
          <w:color w:val="auto"/>
        </w:rPr>
      </w:pPr>
    </w:p>
    <w:p>
      <w:pPr>
        <w:sectPr>
          <w:pgSz w:w="11900" w:h="16838" w:orient="portrait"/>
          <w:cols w:equalWidth="0" w:num="2">
            <w:col w:w="8120" w:space="720"/>
            <w:col w:w="2440"/>
          </w:cols>
          <w:pgMar w:left="300" w:top="839"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0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803,312</w:t>
            </w:r>
          </w:p>
        </w:tc>
        <w:tc>
          <w:tcPr>
            <w:tcW w:w="18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770,901</w:t>
            </w:r>
          </w:p>
        </w:tc>
      </w:tr>
      <w:tr>
        <w:trPr>
          <w:trHeight w:val="180"/>
        </w:trPr>
        <w:tc>
          <w:tcPr>
            <w:tcW w:w="78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Non-controlling interests in consolidated joint ventures</w:t>
            </w: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12,297</w:t>
            </w: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12,391</w:t>
            </w:r>
          </w:p>
        </w:tc>
      </w:tr>
      <w:tr>
        <w:trPr>
          <w:trHeight w:val="171"/>
        </w:trPr>
        <w:tc>
          <w:tcPr>
            <w:tcW w:w="782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equity</w:t>
            </w:r>
          </w:p>
        </w:tc>
        <w:tc>
          <w:tcPr>
            <w:tcW w:w="5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815,609</w:t>
            </w: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783,292</w:t>
            </w:r>
          </w:p>
        </w:tc>
      </w:tr>
      <w:tr>
        <w:trPr>
          <w:trHeight w:val="171"/>
        </w:trPr>
        <w:tc>
          <w:tcPr>
            <w:tcW w:w="78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liabilities and equity</w:t>
            </w:r>
          </w:p>
        </w:tc>
        <w:tc>
          <w:tcPr>
            <w:tcW w:w="500" w:type="dxa"/>
            <w:vAlign w:val="bottom"/>
          </w:tcPr>
          <w:p>
            <w:pPr>
              <w:jc w:val="right"/>
              <w:ind w:right="3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1,573,595</w:t>
            </w:r>
          </w:p>
        </w:tc>
        <w:tc>
          <w:tcPr>
            <w:tcW w:w="660" w:type="dxa"/>
            <w:vAlign w:val="bottom"/>
            <w:gridSpan w:val="2"/>
          </w:tcPr>
          <w:p>
            <w:pPr>
              <w:jc w:val="right"/>
              <w:ind w:right="4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1,503,518</w:t>
            </w:r>
          </w:p>
        </w:tc>
      </w:tr>
      <w:tr>
        <w:trPr>
          <w:trHeight w:val="20"/>
        </w:trPr>
        <w:tc>
          <w:tcPr>
            <w:tcW w:w="7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-141605</wp:posOffset>
            </wp:positionV>
            <wp:extent cx="1143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620" w:type="dxa"/>
            <w:vAlign w:val="bottom"/>
            <w:tcBorders>
              <w:bottom w:val="single" w:sz="8" w:color="auto"/>
            </w:tcBorders>
          </w:tcPr>
          <w:p>
            <w:pPr>
              <w:spacing w:after="0"/>
              <w:rPr>
                <w:sz w:val="17"/>
                <w:szCs w:val="17"/>
                <w:color w:val="auto"/>
              </w:rPr>
            </w:pPr>
          </w:p>
        </w:tc>
      </w:tr>
      <w:tr>
        <w:trPr>
          <w:trHeight w:val="172"/>
        </w:trPr>
        <w:tc>
          <w:tcPr>
            <w:tcW w:w="6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2026</w:t>
            </w:r>
          </w:p>
        </w:tc>
        <w:tc>
          <w:tcPr>
            <w:tcW w:w="7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Pr>
          <w:p>
            <w:pPr>
              <w:spacing w:after="0"/>
              <w:rPr>
                <w:sz w:val="14"/>
                <w:szCs w:val="14"/>
                <w:color w:val="auto"/>
              </w:rPr>
            </w:pPr>
          </w:p>
        </w:tc>
      </w:tr>
      <w:tr>
        <w:trPr>
          <w:trHeight w:val="171"/>
        </w:trPr>
        <w:tc>
          <w:tcPr>
            <w:tcW w:w="61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134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r>
      <w:tr>
        <w:trPr>
          <w:trHeight w:val="180"/>
        </w:trPr>
        <w:tc>
          <w:tcPr>
            <w:tcW w:w="6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Rental revenue</w:t>
            </w:r>
          </w:p>
        </w:tc>
        <w:tc>
          <w:tcPr>
            <w:tcW w:w="2460" w:type="dxa"/>
            <w:vAlign w:val="bottom"/>
            <w:gridSpan w:val="2"/>
          </w:tcPr>
          <w:p>
            <w:pPr>
              <w:jc w:val="right"/>
              <w:ind w:right="985"/>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29,672</w:t>
            </w:r>
          </w:p>
        </w:tc>
        <w:tc>
          <w:tcPr>
            <w:tcW w:w="1360" w:type="dxa"/>
            <w:vAlign w:val="bottom"/>
            <w:gridSpan w:val="2"/>
          </w:tcPr>
          <w:p>
            <w:pPr>
              <w:jc w:val="right"/>
              <w:ind w:right="11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8,270</w:t>
            </w:r>
          </w:p>
        </w:tc>
      </w:tr>
      <w:tr>
        <w:trPr>
          <w:trHeight w:val="171"/>
        </w:trPr>
        <w:tc>
          <w:tcPr>
            <w:tcW w:w="61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revenues</w:t>
            </w:r>
          </w:p>
        </w:tc>
        <w:tc>
          <w:tcPr>
            <w:tcW w:w="134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29,672</w:t>
            </w:r>
          </w:p>
        </w:tc>
        <w:tc>
          <w:tcPr>
            <w:tcW w:w="2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8,270</w:t>
            </w:r>
          </w:p>
        </w:tc>
      </w:tr>
      <w:tr>
        <w:trPr>
          <w:trHeight w:val="180"/>
        </w:trPr>
        <w:tc>
          <w:tcPr>
            <w:tcW w:w="6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0"/>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Rental property operating</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11,292</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3,033</w:t>
            </w:r>
          </w:p>
        </w:tc>
      </w:tr>
      <w:tr>
        <w:trPr>
          <w:trHeight w:val="180"/>
        </w:trPr>
        <w:tc>
          <w:tcPr>
            <w:tcW w:w="6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1,845</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1,647</w:t>
            </w:r>
          </w:p>
        </w:tc>
      </w:tr>
      <w:tr>
        <w:trPr>
          <w:trHeight w:val="180"/>
        </w:trPr>
        <w:tc>
          <w:tcPr>
            <w:tcW w:w="6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3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14,948</w:t>
            </w:r>
          </w:p>
        </w:tc>
        <w:tc>
          <w:tcPr>
            <w:tcW w:w="2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3,558</w:t>
            </w:r>
          </w:p>
        </w:tc>
      </w:tr>
      <w:tr>
        <w:trPr>
          <w:trHeight w:val="171"/>
        </w:trPr>
        <w:tc>
          <w:tcPr>
            <w:tcW w:w="61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expenses</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28,085</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8,238</w:t>
            </w:r>
          </w:p>
        </w:tc>
      </w:tr>
      <w:tr>
        <w:trPr>
          <w:trHeight w:val="18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Other income (expense), net</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r>
      <w:tr>
        <w:trPr>
          <w:trHeight w:val="180"/>
        </w:trPr>
        <w:tc>
          <w:tcPr>
            <w:tcW w:w="6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from investments in real estate debt</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5,182</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1,478</w:t>
            </w:r>
          </w:p>
        </w:tc>
      </w:tr>
      <w:tr>
        <w:trPr>
          <w:trHeight w:val="180"/>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Income from investments in real estate-related and other securities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23</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1,081</w:t>
            </w:r>
          </w:p>
        </w:tc>
      </w:tr>
      <w:tr>
        <w:trPr>
          <w:trHeight w:val="180"/>
        </w:trPr>
        <w:tc>
          <w:tcPr>
            <w:tcW w:w="6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Mandatorily redeemable instruments interest costs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(573)</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(1,186)</w:t>
            </w:r>
          </w:p>
        </w:tc>
      </w:tr>
      <w:tr>
        <w:trPr>
          <w:trHeight w:val="180"/>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(9,310)</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(2,488)</w:t>
            </w:r>
          </w:p>
        </w:tc>
      </w:tr>
      <w:tr>
        <w:trPr>
          <w:trHeight w:val="180"/>
        </w:trPr>
        <w:tc>
          <w:tcPr>
            <w:tcW w:w="6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 net</w:t>
            </w:r>
          </w:p>
        </w:tc>
        <w:tc>
          <w:tcPr>
            <w:tcW w:w="13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114</w:t>
            </w:r>
          </w:p>
        </w:tc>
        <w:tc>
          <w:tcPr>
            <w:tcW w:w="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2,743</w:t>
            </w:r>
          </w:p>
        </w:tc>
      </w:tr>
      <w:tr>
        <w:trPr>
          <w:trHeight w:val="171"/>
        </w:trPr>
        <w:tc>
          <w:tcPr>
            <w:tcW w:w="614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other (expense) income, net</w:t>
            </w:r>
          </w:p>
        </w:tc>
        <w:tc>
          <w:tcPr>
            <w:tcW w:w="134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(4,564)</w:t>
            </w:r>
          </w:p>
        </w:tc>
        <w:tc>
          <w:tcPr>
            <w:tcW w:w="2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1,628</w:t>
            </w:r>
          </w:p>
        </w:tc>
      </w:tr>
      <w:tr>
        <w:trPr>
          <w:trHeight w:val="171"/>
        </w:trPr>
        <w:tc>
          <w:tcPr>
            <w:tcW w:w="61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(loss) income</w:t>
            </w:r>
          </w:p>
        </w:tc>
        <w:tc>
          <w:tcPr>
            <w:tcW w:w="2460" w:type="dxa"/>
            <w:vAlign w:val="bottom"/>
            <w:gridSpan w:val="2"/>
          </w:tcPr>
          <w:p>
            <w:pPr>
              <w:jc w:val="right"/>
              <w:ind w:right="9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(2,977)</w:t>
            </w:r>
          </w:p>
        </w:tc>
        <w:tc>
          <w:tcPr>
            <w:tcW w:w="1360" w:type="dxa"/>
            <w:vAlign w:val="bottom"/>
            <w:gridSpan w:val="2"/>
          </w:tcPr>
          <w:p>
            <w:pPr>
              <w:jc w:val="right"/>
              <w:ind w:right="11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1,660</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6140" w:type="dxa"/>
            <w:vAlign w:val="bottom"/>
            <w:tcBorders>
              <w:bottom w:val="single" w:sz="8" w:color="CFF0FC"/>
            </w:tcBorders>
            <w:shd w:val="clear" w:color="auto" w:fill="CFF0FC"/>
          </w:tcPr>
          <w:p>
            <w:pPr>
              <w:ind w:left="140"/>
              <w:spacing w:after="0" w:line="154" w:lineRule="exact"/>
              <w:rPr>
                <w:sz w:val="20"/>
                <w:szCs w:val="20"/>
                <w:color w:val="auto"/>
              </w:rPr>
            </w:pPr>
            <w:r>
              <w:rPr>
                <w:rFonts w:ascii="Times New Roman" w:cs="Times New Roman" w:eastAsia="Times New Roman" w:hAnsi="Times New Roman"/>
                <w:sz w:val="15"/>
                <w:szCs w:val="15"/>
                <w:color w:val="auto"/>
              </w:rPr>
              <w:t>Net loss attributable to non-controlling interests in consolidated joint ventures</w:t>
            </w:r>
          </w:p>
        </w:tc>
        <w:tc>
          <w:tcPr>
            <w:tcW w:w="13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(199)</w:t>
            </w:r>
          </w:p>
        </w:tc>
        <w:tc>
          <w:tcPr>
            <w:tcW w:w="200" w:type="dxa"/>
            <w:vAlign w:val="bottom"/>
            <w:tcBorders>
              <w:bottom w:val="single" w:sz="8" w:color="CFF0FC"/>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(21)</w:t>
            </w:r>
          </w:p>
        </w:tc>
      </w:tr>
      <w:tr>
        <w:trPr>
          <w:trHeight w:val="171"/>
        </w:trPr>
        <w:tc>
          <w:tcPr>
            <w:tcW w:w="61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(loss) income attributable to JPMREIT stockholders</w:t>
            </w:r>
          </w:p>
        </w:tc>
        <w:tc>
          <w:tcPr>
            <w:tcW w:w="2460" w:type="dxa"/>
            <w:vAlign w:val="bottom"/>
            <w:gridSpan w:val="2"/>
          </w:tcPr>
          <w:p>
            <w:pPr>
              <w:jc w:val="right"/>
              <w:ind w:right="9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(2,778)</w:t>
            </w:r>
          </w:p>
        </w:tc>
        <w:tc>
          <w:tcPr>
            <w:tcW w:w="1360" w:type="dxa"/>
            <w:vAlign w:val="bottom"/>
            <w:gridSpan w:val="2"/>
          </w:tcPr>
          <w:p>
            <w:pPr>
              <w:jc w:val="right"/>
              <w:ind w:right="11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1,681</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614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Net (loss) income per share of common stock – basic</w:t>
            </w:r>
          </w:p>
        </w:tc>
        <w:tc>
          <w:tcPr>
            <w:tcW w:w="2460" w:type="dxa"/>
            <w:vAlign w:val="bottom"/>
            <w:gridSpan w:val="2"/>
            <w:shd w:val="clear" w:color="auto" w:fill="CFF0FC"/>
          </w:tcPr>
          <w:p>
            <w:pPr>
              <w:jc w:val="right"/>
              <w:ind w:right="985"/>
              <w:spacing w:after="0" w:line="154"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1360" w:type="dxa"/>
            <w:vAlign w:val="bottom"/>
            <w:gridSpan w:val="2"/>
            <w:shd w:val="clear" w:color="auto" w:fill="CFF0FC"/>
          </w:tcPr>
          <w:p>
            <w:pPr>
              <w:jc w:val="right"/>
              <w:ind w:right="1100"/>
              <w:spacing w:after="0" w:line="154"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rPr>
              <w:t>0.03</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r>
        <w:trPr>
          <w:trHeight w:val="153"/>
        </w:trPr>
        <w:tc>
          <w:tcPr>
            <w:tcW w:w="6140" w:type="dxa"/>
            <w:vAlign w:val="bottom"/>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Net (loss) income per share of common stock – diluted</w:t>
            </w:r>
          </w:p>
        </w:tc>
        <w:tc>
          <w:tcPr>
            <w:tcW w:w="2460" w:type="dxa"/>
            <w:vAlign w:val="bottom"/>
            <w:gridSpan w:val="2"/>
          </w:tcPr>
          <w:p>
            <w:pPr>
              <w:jc w:val="right"/>
              <w:ind w:right="985"/>
              <w:spacing w:after="0" w:line="154"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1360" w:type="dxa"/>
            <w:vAlign w:val="bottom"/>
            <w:gridSpan w:val="2"/>
          </w:tcPr>
          <w:p>
            <w:pPr>
              <w:jc w:val="right"/>
              <w:ind w:right="1100"/>
              <w:spacing w:after="0" w:line="154"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rPr>
              <w:t>0.03</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6140" w:type="dxa"/>
            <w:vAlign w:val="bottom"/>
            <w:tcBorders>
              <w:bottom w:val="single" w:sz="8" w:color="CFF0FC"/>
            </w:tcBorders>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Weighted-average shares of common stock outstanding – basic</w:t>
            </w:r>
          </w:p>
        </w:tc>
        <w:tc>
          <w:tcPr>
            <w:tcW w:w="134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85"/>
              <w:spacing w:after="0" w:line="154" w:lineRule="exact"/>
              <w:rPr>
                <w:sz w:val="20"/>
                <w:szCs w:val="20"/>
                <w:color w:val="auto"/>
              </w:rPr>
            </w:pPr>
            <w:r>
              <w:rPr>
                <w:rFonts w:ascii="Times New Roman" w:cs="Times New Roman" w:eastAsia="Times New Roman" w:hAnsi="Times New Roman"/>
                <w:sz w:val="15"/>
                <w:szCs w:val="15"/>
                <w:color w:val="auto"/>
              </w:rPr>
              <w:t>82,216</w:t>
            </w:r>
          </w:p>
        </w:tc>
        <w:tc>
          <w:tcPr>
            <w:tcW w:w="2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rPr>
              <w:t>50,719</w:t>
            </w:r>
          </w:p>
        </w:tc>
      </w:tr>
      <w:tr>
        <w:trPr>
          <w:trHeight w:val="153"/>
        </w:trPr>
        <w:tc>
          <w:tcPr>
            <w:tcW w:w="6140" w:type="dxa"/>
            <w:vAlign w:val="bottom"/>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Weighted-average shares of common stock outstanding – diluted</w:t>
            </w:r>
          </w:p>
        </w:tc>
        <w:tc>
          <w:tcPr>
            <w:tcW w:w="13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5"/>
              <w:spacing w:after="0" w:line="154" w:lineRule="exact"/>
              <w:rPr>
                <w:sz w:val="20"/>
                <w:szCs w:val="20"/>
                <w:color w:val="auto"/>
              </w:rPr>
            </w:pPr>
            <w:r>
              <w:rPr>
                <w:rFonts w:ascii="Times New Roman" w:cs="Times New Roman" w:eastAsia="Times New Roman" w:hAnsi="Times New Roman"/>
                <w:sz w:val="15"/>
                <w:szCs w:val="15"/>
                <w:color w:val="auto"/>
              </w:rPr>
              <w:t>82,216</w:t>
            </w:r>
          </w:p>
        </w:tc>
        <w:tc>
          <w:tcPr>
            <w:tcW w:w="20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rPr>
              <w:t>50,724</w:t>
            </w:r>
          </w:p>
        </w:tc>
      </w:tr>
      <w:tr>
        <w:trPr>
          <w:trHeight w:val="20"/>
        </w:trPr>
        <w:tc>
          <w:tcPr>
            <w:tcW w:w="6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-1866900</wp:posOffset>
            </wp:positionV>
            <wp:extent cx="12128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-940435</wp:posOffset>
            </wp:positionV>
            <wp:extent cx="12128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-683260</wp:posOffset>
            </wp:positionV>
            <wp:extent cx="12128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-426720</wp:posOffset>
            </wp:positionV>
            <wp:extent cx="12128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-412750</wp:posOffset>
            </wp:positionV>
            <wp:extent cx="12128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-156210</wp:posOffset>
            </wp:positionV>
            <wp:extent cx="12128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-141605</wp:posOffset>
            </wp:positionV>
            <wp:extent cx="12128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1285" cy="698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Equity (Unaudited)</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 thousands, except per-share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w w:val="95"/>
              </w:rPr>
              <w:t>Par Value</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Non-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66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740" w:type="dxa"/>
            <w:vAlign w:val="bottom"/>
            <w:gridSpan w:val="2"/>
          </w:tcPr>
          <w:p>
            <w:pPr>
              <w:ind w:left="100"/>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720" w:type="dxa"/>
            <w:vAlign w:val="bottom"/>
            <w:gridSpan w:val="2"/>
          </w:tcPr>
          <w:p>
            <w:pPr>
              <w:ind w:left="100"/>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0" w:type="dxa"/>
            <w:vAlign w:val="bottom"/>
            <w:gridSpan w:val="3"/>
          </w:tcPr>
          <w:p>
            <w:pPr>
              <w:ind w:left="120"/>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720" w:type="dxa"/>
            <w:vAlign w:val="bottom"/>
            <w:gridSpan w:val="3"/>
          </w:tcPr>
          <w:p>
            <w:pPr>
              <w:ind w:left="60"/>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5"/>
                <w:szCs w:val="15"/>
                <w:color w:val="auto"/>
              </w:rPr>
            </w:pP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5"/>
                <w:szCs w:val="15"/>
                <w:color w:val="auto"/>
              </w:rPr>
            </w:pPr>
          </w:p>
        </w:tc>
        <w:tc>
          <w:tcPr>
            <w:tcW w:w="56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5"/>
                <w:szCs w:val="15"/>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w w:val="99"/>
              </w:rPr>
              <w:t>Paid-In</w:t>
            </w:r>
          </w:p>
        </w:tc>
        <w:tc>
          <w:tcPr>
            <w:tcW w:w="1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w w:val="97"/>
              </w:rPr>
              <w:t>Controlling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Class D</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w w:val="95"/>
              </w:rPr>
              <w:t>Class I</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Class S</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Class 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Class Y</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71"/>
        </w:trPr>
        <w:tc>
          <w:tcPr>
            <w:tcW w:w="30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shd w:val="clear" w:color="auto" w:fill="CFF0FC"/>
          </w:tcPr>
          <w:p>
            <w:pPr>
              <w:ind w:left="80"/>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139</w:t>
            </w:r>
          </w:p>
        </w:tc>
        <w:tc>
          <w:tcPr>
            <w:tcW w:w="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ind w:left="400"/>
              <w:spacing w:after="0" w:line="172" w:lineRule="exact"/>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558</w:t>
            </w:r>
          </w:p>
        </w:tc>
        <w:tc>
          <w:tcPr>
            <w:tcW w:w="520" w:type="dxa"/>
            <w:vAlign w:val="bottom"/>
            <w:shd w:val="clear" w:color="auto" w:fill="CFF0FC"/>
          </w:tcPr>
          <w:p>
            <w:pPr>
              <w:ind w:left="60"/>
              <w:spacing w:after="0" w:line="17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93"/>
              </w:rPr>
              <w:t>86</w:t>
            </w:r>
          </w:p>
        </w:tc>
        <w:tc>
          <w:tcPr>
            <w:tcW w:w="180" w:type="dxa"/>
            <w:vAlign w:val="bottom"/>
            <w:gridSpan w:val="2"/>
            <w:shd w:val="clear" w:color="auto" w:fill="CFF0FC"/>
          </w:tcPr>
          <w:p>
            <w:pPr>
              <w:ind w:left="80"/>
              <w:spacing w:after="0" w:line="17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844,236</w:t>
            </w:r>
          </w:p>
        </w:tc>
        <w:tc>
          <w:tcPr>
            <w:tcW w:w="100" w:type="dxa"/>
            <w:vAlign w:val="bottom"/>
            <w:shd w:val="clear" w:color="auto" w:fill="CFF0FC"/>
          </w:tcPr>
          <w:p>
            <w:pPr>
              <w:ind w:left="20"/>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(74,128)</w:t>
            </w:r>
          </w:p>
        </w:tc>
        <w:tc>
          <w:tcPr>
            <w:tcW w:w="100" w:type="dxa"/>
            <w:vAlign w:val="bottom"/>
            <w:shd w:val="clear" w:color="auto" w:fill="CFF0FC"/>
          </w:tcPr>
          <w:p>
            <w:pPr>
              <w:ind w:left="20"/>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770,901</w:t>
            </w:r>
          </w:p>
        </w:tc>
        <w:tc>
          <w:tcPr>
            <w:tcW w:w="120" w:type="dxa"/>
            <w:vAlign w:val="bottom"/>
            <w:shd w:val="clear" w:color="auto" w:fill="CFF0FC"/>
          </w:tcPr>
          <w:p>
            <w:pPr>
              <w:ind w:left="40"/>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12,391</w:t>
            </w:r>
          </w:p>
        </w:tc>
        <w:tc>
          <w:tcPr>
            <w:tcW w:w="14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783,292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Common stock issued, net of offering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5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3"/>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45,724</w:t>
            </w:r>
          </w:p>
        </w:tc>
        <w:tc>
          <w:tcPr>
            <w:tcW w:w="10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45,766</w:t>
            </w:r>
          </w:p>
        </w:tc>
        <w:tc>
          <w:tcPr>
            <w:tcW w:w="120" w:type="dxa"/>
            <w:vAlign w:val="bottom"/>
          </w:tcPr>
          <w:p>
            <w:pPr>
              <w:spacing w:after="0"/>
              <w:rPr>
                <w:sz w:val="15"/>
                <w:szCs w:val="15"/>
                <w:color w:val="auto"/>
              </w:rPr>
            </w:pPr>
          </w:p>
        </w:tc>
        <w:tc>
          <w:tcPr>
            <w:tcW w:w="7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Common stock repurchased</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w:t>
            </w: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5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(5,871)</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(5,876)</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(5,876)</w:t>
            </w: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Distributions declared on common stock</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(10,165)</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(10,165)</w:t>
            </w:r>
          </w:p>
        </w:tc>
        <w:tc>
          <w:tcPr>
            <w:tcW w:w="120" w:type="dxa"/>
            <w:vAlign w:val="bottom"/>
          </w:tcPr>
          <w:p>
            <w:pPr>
              <w:spacing w:after="0"/>
              <w:rPr>
                <w:sz w:val="15"/>
                <w:szCs w:val="15"/>
                <w:color w:val="auto"/>
              </w:rPr>
            </w:pPr>
          </w:p>
        </w:tc>
        <w:tc>
          <w:tcPr>
            <w:tcW w:w="7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(10,165)</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Distribution reinvestments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3</w:t>
            </w:r>
          </w:p>
        </w:tc>
        <w:tc>
          <w:tcPr>
            <w:tcW w:w="5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5,439</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5,444</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5,444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020" w:type="dxa"/>
            <w:vAlign w:val="bottom"/>
          </w:tcPr>
          <w:p>
            <w:pPr>
              <w:ind w:left="60"/>
              <w:spacing w:after="0" w:line="165" w:lineRule="exact"/>
              <w:rPr>
                <w:sz w:val="20"/>
                <w:szCs w:val="20"/>
                <w:color w:val="auto"/>
              </w:rPr>
            </w:pPr>
            <w:r>
              <w:rPr>
                <w:rFonts w:ascii="Times New Roman" w:cs="Times New Roman" w:eastAsia="Times New Roman" w:hAnsi="Times New Roman"/>
                <w:sz w:val="15"/>
                <w:szCs w:val="15"/>
                <w:color w:val="auto"/>
              </w:rPr>
              <w:t>Net loss ($1 loss allocated to redeemable</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(2,778)</w:t>
            </w:r>
          </w:p>
        </w:tc>
        <w:tc>
          <w:tcPr>
            <w:tcW w:w="10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(2,778)</w:t>
            </w:r>
          </w:p>
        </w:tc>
        <w:tc>
          <w:tcPr>
            <w:tcW w:w="12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40" w:type="dxa"/>
            <w:vAlign w:val="bottom"/>
          </w:tcPr>
          <w:p>
            <w:pPr>
              <w:spacing w:after="0"/>
              <w:rPr>
                <w:sz w:val="14"/>
                <w:szCs w:val="14"/>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(2,976)</w:t>
            </w:r>
          </w:p>
        </w:tc>
        <w:tc>
          <w:tcPr>
            <w:tcW w:w="0" w:type="dxa"/>
            <w:vAlign w:val="bottom"/>
          </w:tcPr>
          <w:p>
            <w:pPr>
              <w:spacing w:after="0"/>
              <w:rPr>
                <w:sz w:val="1"/>
                <w:szCs w:val="1"/>
                <w:color w:val="auto"/>
              </w:rPr>
            </w:pPr>
          </w:p>
        </w:tc>
      </w:tr>
      <w:tr>
        <w:trPr>
          <w:trHeight w:val="104"/>
        </w:trPr>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non-controlling interest)</w:t>
            </w: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Contributions from non-controlling interests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383</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4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(279)</w:t>
            </w: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Amortization of restricted stock grants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w w:val="79"/>
              </w:rPr>
              <w:t>26</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020" w:type="dxa"/>
            <w:vAlign w:val="bottom"/>
          </w:tcPr>
          <w:p>
            <w:pPr>
              <w:ind w:left="60"/>
              <w:spacing w:after="0" w:line="165" w:lineRule="exact"/>
              <w:rPr>
                <w:sz w:val="20"/>
                <w:szCs w:val="20"/>
                <w:color w:val="auto"/>
              </w:rPr>
            </w:pPr>
            <w:r>
              <w:rPr>
                <w:rFonts w:ascii="Times New Roman" w:cs="Times New Roman" w:eastAsia="Times New Roman" w:hAnsi="Times New Roman"/>
                <w:sz w:val="15"/>
                <w:szCs w:val="15"/>
                <w:color w:val="auto"/>
              </w:rPr>
              <w:t>Allocation to redeemable non-controlling</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4"/>
                <w:szCs w:val="14"/>
                <w:color w:val="auto"/>
              </w:rPr>
            </w:pPr>
          </w:p>
        </w:tc>
        <w:tc>
          <w:tcPr>
            <w:tcW w:w="90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4"/>
                <w:szCs w:val="14"/>
                <w:color w:val="auto"/>
              </w:rPr>
            </w:pPr>
          </w:p>
        </w:tc>
        <w:tc>
          <w:tcPr>
            <w:tcW w:w="7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92"/>
        </w:trPr>
        <w:tc>
          <w:tcPr>
            <w:tcW w:w="30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interest</w:t>
            </w: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Balance at March 31, 2026</w:t>
            </w:r>
          </w:p>
        </w:tc>
        <w:tc>
          <w:tcPr>
            <w:tcW w:w="100" w:type="dxa"/>
            <w:vAlign w:val="bottom"/>
            <w:tcBorders>
              <w:bottom w:val="single" w:sz="8" w:color="auto"/>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tcBorders>
              <w:bottom w:val="single" w:sz="8" w:color="auto"/>
            </w:tcBorders>
            <w:shd w:val="clear" w:color="auto" w:fill="CFF0FC"/>
          </w:tcPr>
          <w:p>
            <w:pPr>
              <w:ind w:left="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145</w:t>
            </w:r>
          </w:p>
        </w:tc>
        <w:tc>
          <w:tcPr>
            <w:tcW w:w="1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ind w:left="400"/>
              <w:spacing w:after="0" w:line="171" w:lineRule="exact"/>
              <w:rPr>
                <w:sz w:val="20"/>
                <w:szCs w:val="20"/>
                <w:color w:val="auto"/>
              </w:rPr>
            </w:pPr>
            <w:r>
              <w:rPr>
                <w:rFonts w:ascii="Times New Roman" w:cs="Times New Roman" w:eastAsia="Times New Roman" w:hAnsi="Times New Roman"/>
                <w:sz w:val="15"/>
                <w:szCs w:val="15"/>
                <w:color w:val="auto"/>
                <w:w w:val="93"/>
              </w:rPr>
              <w:t>—</w:t>
            </w:r>
          </w:p>
        </w:tc>
        <w:tc>
          <w:tcPr>
            <w:tcW w:w="1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581</w:t>
            </w:r>
          </w:p>
        </w:tc>
        <w:tc>
          <w:tcPr>
            <w:tcW w:w="520" w:type="dxa"/>
            <w:vAlign w:val="bottom"/>
            <w:tcBorders>
              <w:bottom w:val="single" w:sz="8" w:color="auto"/>
            </w:tcBorders>
            <w:shd w:val="clear" w:color="auto" w:fill="CFF0FC"/>
          </w:tcPr>
          <w:p>
            <w:pPr>
              <w:ind w:lef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93"/>
              </w:rPr>
              <w:t>99</w:t>
            </w:r>
          </w:p>
        </w:tc>
        <w:tc>
          <w:tcPr>
            <w:tcW w:w="180" w:type="dxa"/>
            <w:vAlign w:val="bottom"/>
            <w:tcBorders>
              <w:bottom w:val="single" w:sz="8" w:color="auto"/>
            </w:tcBorders>
            <w:gridSpan w:val="2"/>
            <w:shd w:val="clear" w:color="auto" w:fill="CFF0FC"/>
          </w:tcPr>
          <w:p>
            <w:pPr>
              <w:ind w:left="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gridSpan w:val="2"/>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889,548</w:t>
            </w:r>
          </w:p>
        </w:tc>
        <w:tc>
          <w:tcPr>
            <w:tcW w:w="100" w:type="dxa"/>
            <w:vAlign w:val="bottom"/>
            <w:tcBorders>
              <w:bottom w:val="single" w:sz="8" w:color="auto"/>
            </w:tcBorders>
            <w:shd w:val="clear" w:color="auto" w:fill="CFF0FC"/>
          </w:tcPr>
          <w:p>
            <w:pPr>
              <w:ind w:left="2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(87,071)</w:t>
            </w:r>
          </w:p>
        </w:tc>
        <w:tc>
          <w:tcPr>
            <w:tcW w:w="100" w:type="dxa"/>
            <w:vAlign w:val="bottom"/>
            <w:tcBorders>
              <w:bottom w:val="single" w:sz="8" w:color="auto"/>
            </w:tcBorders>
            <w:shd w:val="clear" w:color="auto" w:fill="CFF0FC"/>
          </w:tcPr>
          <w:p>
            <w:pPr>
              <w:ind w:left="2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gridSpan w:val="2"/>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803,312</w:t>
            </w:r>
          </w:p>
        </w:tc>
        <w:tc>
          <w:tcPr>
            <w:tcW w:w="120" w:type="dxa"/>
            <w:vAlign w:val="bottom"/>
            <w:tcBorders>
              <w:bottom w:val="single" w:sz="8" w:color="auto"/>
            </w:tcBorders>
            <w:shd w:val="clear" w:color="auto" w:fill="CFF0FC"/>
          </w:tcPr>
          <w:p>
            <w:pPr>
              <w:ind w:left="4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gridSpan w:val="2"/>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12,297</w:t>
            </w:r>
          </w:p>
        </w:tc>
        <w:tc>
          <w:tcPr>
            <w:tcW w:w="14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815,609</w:t>
            </w:r>
          </w:p>
        </w:tc>
        <w:tc>
          <w:tcPr>
            <w:tcW w:w="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gridSpan w:val="4"/>
            <w:vMerge w:val="restart"/>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center"/>
              <w:ind w:right="265"/>
              <w:spacing w:after="0"/>
              <w:rPr>
                <w:sz w:val="20"/>
                <w:szCs w:val="20"/>
                <w:color w:val="auto"/>
              </w:rPr>
            </w:pPr>
            <w:r>
              <w:rPr>
                <w:rFonts w:ascii="Times New Roman" w:cs="Times New Roman" w:eastAsia="Times New Roman" w:hAnsi="Times New Roman"/>
                <w:sz w:val="15"/>
                <w:szCs w:val="15"/>
                <w:b w:val="1"/>
                <w:bCs w:val="1"/>
                <w:color w:val="auto"/>
              </w:rPr>
              <w:t>Non-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20" w:type="dxa"/>
            <w:vAlign w:val="bottom"/>
          </w:tcPr>
          <w:p>
            <w:pPr>
              <w:spacing w:after="0"/>
              <w:rPr>
                <w:sz w:val="13"/>
                <w:szCs w:val="13"/>
                <w:color w:val="auto"/>
              </w:rPr>
            </w:pPr>
          </w:p>
        </w:tc>
        <w:tc>
          <w:tcPr>
            <w:tcW w:w="1400" w:type="dxa"/>
            <w:vAlign w:val="bottom"/>
            <w:gridSpan w:val="4"/>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Common Common</w:t>
            </w:r>
          </w:p>
        </w:tc>
        <w:tc>
          <w:tcPr>
            <w:tcW w:w="7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5"/>
                <w:szCs w:val="15"/>
                <w:b w:val="1"/>
                <w:bCs w:val="1"/>
                <w:color w:val="auto"/>
              </w:rPr>
              <w:t>Common</w:t>
            </w:r>
          </w:p>
        </w:tc>
        <w:tc>
          <w:tcPr>
            <w:tcW w:w="132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5"/>
                <w:szCs w:val="15"/>
                <w:b w:val="1"/>
                <w:bCs w:val="1"/>
                <w:color w:val="auto"/>
              </w:rPr>
              <w:t>Common Common</w:t>
            </w:r>
          </w:p>
        </w:tc>
        <w:tc>
          <w:tcPr>
            <w:tcW w:w="6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4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 w:type="dxa"/>
            <w:vAlign w:val="bottom"/>
          </w:tcPr>
          <w:p>
            <w:pPr>
              <w:spacing w:after="0"/>
              <w:rPr>
                <w:sz w:val="15"/>
                <w:szCs w:val="15"/>
                <w:color w:val="auto"/>
              </w:rPr>
            </w:pPr>
          </w:p>
        </w:tc>
        <w:tc>
          <w:tcPr>
            <w:tcW w:w="5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94"/>
              </w:rPr>
              <w:t>Stock</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w w:val="99"/>
              </w:rPr>
              <w:t>Paid-In</w:t>
            </w:r>
          </w:p>
        </w:tc>
        <w:tc>
          <w:tcPr>
            <w:tcW w:w="980" w:type="dxa"/>
            <w:vAlign w:val="bottom"/>
            <w:gridSpan w:val="3"/>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Class D</w:t>
            </w:r>
          </w:p>
        </w:tc>
        <w:tc>
          <w:tcPr>
            <w:tcW w:w="7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Class I</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Class S</w:t>
            </w:r>
          </w:p>
        </w:tc>
        <w:tc>
          <w:tcPr>
            <w:tcW w:w="66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Class E</w:t>
            </w:r>
          </w:p>
        </w:tc>
        <w:tc>
          <w:tcPr>
            <w:tcW w:w="6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Class 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220" w:type="dxa"/>
            <w:vAlign w:val="bottom"/>
          </w:tcPr>
          <w:p>
            <w:pPr>
              <w:spacing w:after="0"/>
              <w:rPr>
                <w:sz w:val="17"/>
                <w:szCs w:val="17"/>
                <w:color w:val="auto"/>
              </w:rPr>
            </w:pPr>
          </w:p>
        </w:tc>
        <w:tc>
          <w:tcPr>
            <w:tcW w:w="780" w:type="dxa"/>
            <w:vAlign w:val="bottom"/>
            <w:gridSpan w:val="2"/>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171"/>
        </w:trPr>
        <w:tc>
          <w:tcPr>
            <w:tcW w:w="30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00" w:type="dxa"/>
            <w:vAlign w:val="bottom"/>
            <w:tcBorders>
              <w:top w:val="single" w:sz="8" w:color="auto"/>
            </w:tcBorders>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tcBorders>
              <w:top w:val="single" w:sz="8" w:color="auto"/>
            </w:tcBorders>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101</w:t>
            </w:r>
          </w:p>
        </w:tc>
        <w:tc>
          <w:tcPr>
            <w:tcW w:w="160" w:type="dxa"/>
            <w:vAlign w:val="bottom"/>
            <w:tcBorders>
              <w:top w:val="single" w:sz="8" w:color="auto"/>
            </w:tcBorders>
            <w:shd w:val="clear" w:color="auto" w:fill="CFF0FC"/>
          </w:tcPr>
          <w:p>
            <w:pPr>
              <w:ind w:lef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FF0FC"/>
          </w:tcPr>
          <w:p>
            <w:pPr>
              <w:ind w:left="400"/>
              <w:spacing w:after="0" w:line="17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top w:val="single" w:sz="8" w:color="auto"/>
            </w:tcBorders>
            <w:shd w:val="clear" w:color="auto" w:fill="CFF0FC"/>
          </w:tcPr>
          <w:p>
            <w:pPr>
              <w:ind w:lef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186</w:t>
            </w:r>
          </w:p>
        </w:tc>
        <w:tc>
          <w:tcPr>
            <w:tcW w:w="14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21</w:t>
            </w:r>
          </w:p>
        </w:tc>
        <w:tc>
          <w:tcPr>
            <w:tcW w:w="200" w:type="dxa"/>
            <w:vAlign w:val="bottom"/>
            <w:tcBorders>
              <w:top w:val="single" w:sz="8" w:color="auto"/>
            </w:tcBorders>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329,600</w:t>
            </w:r>
          </w:p>
        </w:tc>
        <w:tc>
          <w:tcPr>
            <w:tcW w:w="14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(33,780)</w:t>
            </w:r>
          </w:p>
        </w:tc>
        <w:tc>
          <w:tcPr>
            <w:tcW w:w="16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296,139</w:t>
            </w:r>
          </w:p>
        </w:tc>
        <w:tc>
          <w:tcPr>
            <w:tcW w:w="22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rPr>
              <w:t>4,430</w:t>
            </w:r>
          </w:p>
        </w:tc>
        <w:tc>
          <w:tcPr>
            <w:tcW w:w="120" w:type="dxa"/>
            <w:vAlign w:val="bottom"/>
            <w:tcBorders>
              <w:top w:val="single" w:sz="8" w:color="auto"/>
            </w:tcBorders>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300,569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Common stock issued, net of offering costs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296,664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296,935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296,935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Common stock repurchased</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5"/>
                <w:szCs w:val="15"/>
                <w:color w:val="auto"/>
              </w:rPr>
              <w:t>(1,863)</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Distributions declared on common stock</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(5,727)</w:t>
            </w:r>
          </w:p>
        </w:tc>
        <w:tc>
          <w:tcPr>
            <w:tcW w:w="120" w:type="dxa"/>
            <w:vAlign w:val="bottom"/>
          </w:tcPr>
          <w:p>
            <w:pPr>
              <w:spacing w:after="0"/>
              <w:rPr>
                <w:sz w:val="15"/>
                <w:szCs w:val="15"/>
                <w:color w:val="auto"/>
              </w:rPr>
            </w:pPr>
          </w:p>
        </w:tc>
        <w:tc>
          <w:tcPr>
            <w:tcW w:w="6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Distribution reinvestments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Net income (loss)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1,681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1,660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Contributions from non-controlling interests</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3,269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3,269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Amortization of restricted stock grants</w:t>
            </w: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10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10</w:t>
            </w:r>
          </w:p>
        </w:tc>
        <w:tc>
          <w:tcPr>
            <w:tcW w:w="18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117</w:t>
            </w:r>
          </w:p>
        </w:tc>
        <w:tc>
          <w:tcPr>
            <w:tcW w:w="160" w:type="dxa"/>
            <w:vAlign w:val="bottom"/>
            <w:tcBorders>
              <w:bottom w:val="single" w:sz="8" w:color="auto"/>
            </w:tcBorders>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427</w:t>
            </w:r>
          </w:p>
        </w:tc>
        <w:tc>
          <w:tcPr>
            <w:tcW w:w="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36</w:t>
            </w:r>
          </w:p>
        </w:tc>
        <w:tc>
          <w:tcPr>
            <w:tcW w:w="200" w:type="dxa"/>
            <w:vAlign w:val="bottom"/>
            <w:tcBorders>
              <w:bottom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626,545</w:t>
            </w:r>
          </w:p>
        </w:tc>
        <w:tc>
          <w:tcPr>
            <w:tcW w:w="1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(37,826)</w:t>
            </w:r>
          </w:p>
        </w:tc>
        <w:tc>
          <w:tcPr>
            <w:tcW w:w="1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589,309</w:t>
            </w:r>
          </w:p>
        </w:tc>
        <w:tc>
          <w:tcPr>
            <w:tcW w:w="2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7,637</w:t>
            </w:r>
          </w:p>
        </w:tc>
        <w:tc>
          <w:tcPr>
            <w:tcW w:w="1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596,946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360"/>
          </w:cols>
          <w:pgMar w:left="300" w:top="83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900" w:type="dxa"/>
            <w:vAlign w:val="bottom"/>
            <w:tcBorders>
              <w:bottom w:val="single" w:sz="8" w:color="auto"/>
            </w:tcBorders>
          </w:tcPr>
          <w:p>
            <w:pPr>
              <w:spacing w:after="0"/>
              <w:rPr>
                <w:sz w:val="15"/>
                <w:szCs w:val="15"/>
                <w:color w:val="auto"/>
              </w:rPr>
            </w:pPr>
          </w:p>
        </w:tc>
      </w:tr>
      <w:tr>
        <w:trPr>
          <w:trHeight w:val="162"/>
        </w:trPr>
        <w:tc>
          <w:tcPr>
            <w:tcW w:w="6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1160" w:type="dxa"/>
            <w:vAlign w:val="bottom"/>
          </w:tcPr>
          <w:p>
            <w:pPr>
              <w:spacing w:after="0"/>
              <w:rPr>
                <w:sz w:val="14"/>
                <w:szCs w:val="14"/>
                <w:color w:val="auto"/>
              </w:rPr>
            </w:pPr>
          </w:p>
        </w:tc>
        <w:tc>
          <w:tcPr>
            <w:tcW w:w="1720" w:type="dxa"/>
            <w:vAlign w:val="bottom"/>
            <w:gridSpan w:val="2"/>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Pr>
          <w:p>
            <w:pPr>
              <w:spacing w:after="0"/>
              <w:rPr>
                <w:sz w:val="14"/>
                <w:szCs w:val="14"/>
                <w:color w:val="auto"/>
              </w:rPr>
            </w:pPr>
          </w:p>
        </w:tc>
      </w:tr>
      <w:tr>
        <w:trPr>
          <w:trHeight w:val="16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r>
      <w:tr>
        <w:trPr>
          <w:trHeight w:val="174"/>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1280" w:type="dxa"/>
            <w:vAlign w:val="bottom"/>
          </w:tcPr>
          <w:p>
            <w:pPr>
              <w:jc w:val="right"/>
              <w:ind w:right="116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(2,977)</w:t>
            </w:r>
          </w:p>
        </w:tc>
        <w:tc>
          <w:tcPr>
            <w:tcW w:w="1720" w:type="dxa"/>
            <w:vAlign w:val="bottom"/>
            <w:gridSpan w:val="2"/>
          </w:tcPr>
          <w:p>
            <w:pPr>
              <w:jc w:val="right"/>
              <w:ind w:right="145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1,660</w:t>
            </w:r>
          </w:p>
        </w:tc>
      </w:tr>
      <w:tr>
        <w:trPr>
          <w:trHeight w:val="163"/>
        </w:trPr>
        <w:tc>
          <w:tcPr>
            <w:tcW w:w="6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income to net cash provided by operating activities: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14,948</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3,558</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Amortization of above- and below-market lease intangibles, net</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Straight-line rent amortization</w:t>
            </w:r>
          </w:p>
        </w:tc>
        <w:tc>
          <w:tcPr>
            <w:tcW w:w="128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(1,161)</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(216)</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84</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restricted stock grants</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Realized gain on financial instruments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(gain) on financial instruments</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267</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(636)</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Redemption value adjustment on mandatorily redeemable instruments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111</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Change in assets and liabilities: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Increase in other assets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(1,204)</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(2,473)</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Increase in due to affiliates</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1,593</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1,032</w:t>
            </w:r>
          </w:p>
        </w:tc>
      </w:tr>
      <w:tr>
        <w:trPr>
          <w:trHeight w:val="168"/>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(Decrease) increase in accounts payable, accrued expenses and other liabilities</w:t>
            </w:r>
          </w:p>
        </w:tc>
        <w:tc>
          <w:tcPr>
            <w:tcW w:w="12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2,428</w:t>
            </w:r>
          </w:p>
        </w:tc>
      </w:tr>
      <w:tr>
        <w:trPr>
          <w:trHeight w:val="160"/>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1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11,738</w:t>
            </w:r>
          </w:p>
        </w:tc>
        <w:tc>
          <w:tcPr>
            <w:tcW w:w="1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5,506</w:t>
            </w:r>
          </w:p>
        </w:tc>
      </w:tr>
      <w:tr>
        <w:trPr>
          <w:trHeight w:val="160"/>
        </w:trPr>
        <w:tc>
          <w:tcPr>
            <w:tcW w:w="6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Acquisitions of real estate</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(51,410)</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Capital improvements on real estate</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(4,897)</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(353)</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Origination of investments in real estate debt</w:t>
            </w:r>
          </w:p>
        </w:tc>
        <w:tc>
          <w:tcPr>
            <w:tcW w:w="128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(80,000)</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Deposits on real estate acquisitions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(4,000)</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Variation margin proceeds (payments)</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188</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real estate-related and other securities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real-estate related and other securities</w:t>
            </w:r>
          </w:p>
        </w:tc>
        <w:tc>
          <w:tcPr>
            <w:tcW w:w="1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rPr>
              <w:t>(63,064)</w:t>
            </w:r>
          </w:p>
        </w:tc>
      </w:tr>
      <w:tr>
        <w:trPr>
          <w:trHeight w:val="160"/>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28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(85,897)</w:t>
            </w:r>
          </w:p>
        </w:tc>
        <w:tc>
          <w:tcPr>
            <w:tcW w:w="120" w:type="dxa"/>
            <w:vAlign w:val="bottom"/>
            <w:tcBorders>
              <w:bottom w:val="single" w:sz="8" w:color="CFF0FC"/>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(118,619)</w:t>
            </w:r>
          </w:p>
        </w:tc>
      </w:tr>
      <w:tr>
        <w:trPr>
          <w:trHeight w:val="337"/>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46,198</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297,518</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28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(5,669)</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(1,704)</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 of mandatorily redeemable instruments</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(28,300)</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Borrowings under unsecured revolving credit facility</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78,000</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Repayments under unsecured revolving credit facility</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(78,000)</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Contributions from non-controlling interests</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3,268</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Distributions paid on common stock</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(4,508)</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(2,601)</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28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(279)</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Repurchase of redeemable non-controlling interest</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(612)</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mortgage notes and debt secured by real estate</w:t>
            </w:r>
          </w:p>
        </w:tc>
        <w:tc>
          <w:tcPr>
            <w:tcW w:w="128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4,201</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Proceeds from repurchase facility</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60,000</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Principal repayments of mortgage notes and debt secured by real estate</w:t>
            </w:r>
          </w:p>
        </w:tc>
        <w:tc>
          <w:tcPr>
            <w:tcW w:w="1280" w:type="dxa"/>
            <w:vAlign w:val="bottom"/>
          </w:tcPr>
          <w:p>
            <w:pPr>
              <w:spacing w:after="0"/>
              <w:rPr>
                <w:sz w:val="14"/>
                <w:szCs w:val="14"/>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(237)</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(136)</w:t>
            </w:r>
          </w:p>
        </w:tc>
      </w:tr>
      <w:tr>
        <w:trPr>
          <w:trHeight w:val="168"/>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12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tcBorders>
              <w:bottom w:val="single" w:sz="8" w:color="CFF0FC"/>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(339)</w:t>
            </w:r>
          </w:p>
        </w:tc>
      </w:tr>
      <w:tr>
        <w:trPr>
          <w:trHeight w:val="160"/>
        </w:trPr>
        <w:tc>
          <w:tcPr>
            <w:tcW w:w="6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71,015</w:t>
            </w:r>
          </w:p>
        </w:tc>
        <w:tc>
          <w:tcPr>
            <w:tcW w:w="1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295,968</w:t>
            </w:r>
          </w:p>
        </w:tc>
      </w:tr>
      <w:tr>
        <w:trPr>
          <w:trHeight w:val="171"/>
        </w:trPr>
        <w:tc>
          <w:tcPr>
            <w:tcW w:w="6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128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(3,144)</w:t>
            </w: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182,855</w:t>
            </w:r>
          </w:p>
        </w:tc>
      </w:tr>
      <w:tr>
        <w:trPr>
          <w:trHeight w:val="168"/>
        </w:trPr>
        <w:tc>
          <w:tcPr>
            <w:tcW w:w="622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the beginning of the period</w:t>
            </w:r>
          </w:p>
        </w:tc>
        <w:tc>
          <w:tcPr>
            <w:tcW w:w="1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23,105</w:t>
            </w:r>
          </w:p>
        </w:tc>
        <w:tc>
          <w:tcPr>
            <w:tcW w:w="1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128,392</w:t>
            </w:r>
          </w:p>
        </w:tc>
      </w:tr>
      <w:tr>
        <w:trPr>
          <w:trHeight w:val="200"/>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period</w:t>
            </w:r>
          </w:p>
        </w:tc>
        <w:tc>
          <w:tcPr>
            <w:tcW w:w="1280" w:type="dxa"/>
            <w:vAlign w:val="bottom"/>
            <w:tcBorders>
              <w:bottom w:val="single" w:sz="8" w:color="auto"/>
            </w:tcBorders>
            <w:shd w:val="clear" w:color="auto" w:fill="CFF0FC"/>
          </w:tcPr>
          <w:p>
            <w:pPr>
              <w:jc w:val="right"/>
              <w:ind w:right="1160"/>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19,961</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45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311,247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-3399155</wp:posOffset>
            </wp:positionV>
            <wp:extent cx="857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-2201545</wp:posOffset>
            </wp:positionV>
            <wp:extent cx="857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-583565</wp:posOffset>
            </wp:positionV>
            <wp:extent cx="857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-20955</wp:posOffset>
            </wp:positionV>
            <wp:extent cx="857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-6350</wp:posOffset>
            </wp:positionV>
            <wp:extent cx="857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r>
      <w:tr>
        <w:trPr>
          <w:trHeight w:val="164"/>
        </w:trPr>
        <w:tc>
          <w:tcPr>
            <w:tcW w:w="6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76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Pr>
          <w:p>
            <w:pPr>
              <w:spacing w:after="0"/>
              <w:rPr>
                <w:sz w:val="14"/>
                <w:szCs w:val="14"/>
                <w:color w:val="auto"/>
              </w:rPr>
            </w:pPr>
          </w:p>
        </w:tc>
      </w:tr>
      <w:tr>
        <w:trPr>
          <w:trHeight w:val="159"/>
        </w:trPr>
        <w:tc>
          <w:tcPr>
            <w:tcW w:w="6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to the Consolidated Balance Sheets:</w:t>
            </w:r>
          </w:p>
        </w:tc>
        <w:tc>
          <w:tcPr>
            <w:tcW w:w="7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80" w:type="dxa"/>
            <w:vAlign w:val="bottom"/>
            <w:gridSpan w:val="2"/>
            <w:shd w:val="clear" w:color="auto" w:fill="CFF0FC"/>
          </w:tcPr>
          <w:p>
            <w:pPr>
              <w:jc w:val="right"/>
              <w:ind w:right="123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15,285</w:t>
            </w:r>
          </w:p>
        </w:tc>
        <w:tc>
          <w:tcPr>
            <w:tcW w:w="1460" w:type="dxa"/>
            <w:vAlign w:val="bottom"/>
            <w:gridSpan w:val="2"/>
            <w:shd w:val="clear" w:color="auto" w:fill="CFF0FC"/>
          </w:tcPr>
          <w:p>
            <w:pPr>
              <w:jc w:val="right"/>
              <w:ind w:right="1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310,316</w:t>
            </w:r>
          </w:p>
        </w:tc>
      </w:tr>
      <w:tr>
        <w:trPr>
          <w:trHeight w:val="168"/>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7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4,676</w:t>
            </w:r>
          </w:p>
        </w:tc>
        <w:tc>
          <w:tcPr>
            <w:tcW w:w="1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931</w:t>
            </w:r>
          </w:p>
        </w:tc>
      </w:tr>
      <w:tr>
        <w:trPr>
          <w:trHeight w:val="20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2080" w:type="dxa"/>
            <w:vAlign w:val="bottom"/>
            <w:gridSpan w:val="2"/>
            <w:shd w:val="clear" w:color="auto" w:fill="CFF0FC"/>
          </w:tcPr>
          <w:p>
            <w:pPr>
              <w:jc w:val="right"/>
              <w:ind w:right="123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19,961</w:t>
            </w:r>
          </w:p>
        </w:tc>
        <w:tc>
          <w:tcPr>
            <w:tcW w:w="1460" w:type="dxa"/>
            <w:vAlign w:val="bottom"/>
            <w:gridSpan w:val="2"/>
            <w:shd w:val="clear" w:color="auto" w:fill="CFF0FC"/>
          </w:tcPr>
          <w:p>
            <w:pPr>
              <w:jc w:val="right"/>
              <w:ind w:right="1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311,247</w:t>
            </w:r>
          </w:p>
        </w:tc>
      </w:tr>
      <w:tr>
        <w:trPr>
          <w:trHeight w:val="308"/>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1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paid for interest</w:t>
            </w:r>
          </w:p>
        </w:tc>
        <w:tc>
          <w:tcPr>
            <w:tcW w:w="2080" w:type="dxa"/>
            <w:vAlign w:val="bottom"/>
            <w:gridSpan w:val="2"/>
            <w:shd w:val="clear" w:color="auto" w:fill="CFF0FC"/>
          </w:tcPr>
          <w:p>
            <w:pPr>
              <w:jc w:val="right"/>
              <w:ind w:right="123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8,108</w:t>
            </w:r>
          </w:p>
        </w:tc>
        <w:tc>
          <w:tcPr>
            <w:tcW w:w="1460" w:type="dxa"/>
            <w:vAlign w:val="bottom"/>
            <w:gridSpan w:val="2"/>
            <w:shd w:val="clear" w:color="auto" w:fill="CFF0FC"/>
          </w:tcPr>
          <w:p>
            <w:pPr>
              <w:jc w:val="right"/>
              <w:ind w:right="1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2,328</w:t>
            </w:r>
          </w:p>
        </w:tc>
      </w:tr>
      <w:tr>
        <w:trPr>
          <w:trHeight w:val="308"/>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70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19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Assumption of mortgage note, net, in conjunction with acquisition of real estate</w:t>
            </w:r>
          </w:p>
        </w:tc>
        <w:tc>
          <w:tcPr>
            <w:tcW w:w="7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123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ind w:right="1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14,913</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r>
        <w:trPr>
          <w:trHeight w:val="142"/>
        </w:trPr>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Accrued distributions</w:t>
            </w:r>
          </w:p>
        </w:tc>
        <w:tc>
          <w:tcPr>
            <w:tcW w:w="700" w:type="dxa"/>
            <w:vAlign w:val="bottom"/>
          </w:tcPr>
          <w:p>
            <w:pPr>
              <w:spacing w:after="0"/>
              <w:rPr>
                <w:sz w:val="12"/>
                <w:szCs w:val="12"/>
                <w:color w:val="auto"/>
              </w:rPr>
            </w:pPr>
          </w:p>
        </w:tc>
        <w:tc>
          <w:tcPr>
            <w:tcW w:w="1380" w:type="dxa"/>
            <w:vAlign w:val="bottom"/>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213</w:t>
            </w:r>
          </w:p>
        </w:tc>
        <w:tc>
          <w:tcPr>
            <w:tcW w:w="1460" w:type="dxa"/>
            <w:vAlign w:val="bottom"/>
            <w:gridSpan w:val="2"/>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1,010</w:t>
            </w:r>
          </w:p>
        </w:tc>
      </w:tr>
      <w:tr>
        <w:trPr>
          <w:trHeight w:val="20"/>
        </w:trPr>
        <w:tc>
          <w:tcPr>
            <w:tcW w:w="6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61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Distribution reinvestments</w:t>
            </w:r>
          </w:p>
        </w:tc>
        <w:tc>
          <w:tcPr>
            <w:tcW w:w="7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5,444</w:t>
            </w:r>
          </w:p>
        </w:tc>
        <w:tc>
          <w:tcPr>
            <w:tcW w:w="1460" w:type="dxa"/>
            <w:vAlign w:val="bottom"/>
            <w:gridSpan w:val="2"/>
            <w:shd w:val="clear" w:color="auto" w:fill="CFF0FC"/>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2,119</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r>
        <w:trPr>
          <w:trHeight w:val="142"/>
        </w:trPr>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Reclassification of deposits to investments in real estate, net</w:t>
            </w:r>
          </w:p>
        </w:tc>
        <w:tc>
          <w:tcPr>
            <w:tcW w:w="700" w:type="dxa"/>
            <w:vAlign w:val="bottom"/>
          </w:tcPr>
          <w:p>
            <w:pPr>
              <w:spacing w:after="0"/>
              <w:rPr>
                <w:sz w:val="12"/>
                <w:szCs w:val="12"/>
                <w:color w:val="auto"/>
              </w:rPr>
            </w:pPr>
          </w:p>
        </w:tc>
        <w:tc>
          <w:tcPr>
            <w:tcW w:w="1380" w:type="dxa"/>
            <w:vAlign w:val="bottom"/>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1,005</w:t>
            </w:r>
          </w:p>
        </w:tc>
      </w:tr>
      <w:tr>
        <w:trPr>
          <w:trHeight w:val="20"/>
        </w:trPr>
        <w:tc>
          <w:tcPr>
            <w:tcW w:w="6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61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Accrued stockholder servicing fee due to affiliate</w:t>
            </w:r>
          </w:p>
        </w:tc>
        <w:tc>
          <w:tcPr>
            <w:tcW w:w="7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835</w:t>
            </w:r>
          </w:p>
        </w:tc>
        <w:tc>
          <w:tcPr>
            <w:tcW w:w="1460" w:type="dxa"/>
            <w:vAlign w:val="bottom"/>
            <w:gridSpan w:val="2"/>
            <w:shd w:val="clear" w:color="auto" w:fill="CFF0FC"/>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1,044</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r>
        <w:trPr>
          <w:trHeight w:val="142"/>
        </w:trPr>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Accrued redemptions</w:t>
            </w:r>
          </w:p>
        </w:tc>
        <w:tc>
          <w:tcPr>
            <w:tcW w:w="700" w:type="dxa"/>
            <w:vAlign w:val="bottom"/>
          </w:tcPr>
          <w:p>
            <w:pPr>
              <w:spacing w:after="0"/>
              <w:rPr>
                <w:sz w:val="12"/>
                <w:szCs w:val="12"/>
                <w:color w:val="auto"/>
              </w:rPr>
            </w:pPr>
          </w:p>
        </w:tc>
        <w:tc>
          <w:tcPr>
            <w:tcW w:w="1380" w:type="dxa"/>
            <w:vAlign w:val="bottom"/>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4,397</w:t>
            </w:r>
          </w:p>
        </w:tc>
        <w:tc>
          <w:tcPr>
            <w:tcW w:w="1460" w:type="dxa"/>
            <w:vAlign w:val="bottom"/>
            <w:gridSpan w:val="2"/>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159</w:t>
            </w:r>
          </w:p>
        </w:tc>
      </w:tr>
      <w:tr>
        <w:trPr>
          <w:trHeight w:val="20"/>
        </w:trPr>
        <w:tc>
          <w:tcPr>
            <w:tcW w:w="6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2"/>
        </w:trPr>
        <w:tc>
          <w:tcPr>
            <w:tcW w:w="61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Redeemable non-controlling interest issued as settlement for performance participation allocation</w:t>
            </w:r>
          </w:p>
        </w:tc>
        <w:tc>
          <w:tcPr>
            <w:tcW w:w="700" w:type="dxa"/>
            <w:vAlign w:val="bottom"/>
            <w:shd w:val="clear" w:color="auto" w:fill="CFF0FC"/>
          </w:tcPr>
          <w:p>
            <w:pPr>
              <w:spacing w:after="0"/>
              <w:rPr>
                <w:sz w:val="14"/>
                <w:szCs w:val="14"/>
                <w:color w:val="auto"/>
              </w:rPr>
            </w:pPr>
          </w:p>
        </w:tc>
        <w:tc>
          <w:tcPr>
            <w:tcW w:w="1380" w:type="dxa"/>
            <w:vAlign w:val="bottom"/>
            <w:shd w:val="clear" w:color="auto" w:fill="CFF0FC"/>
          </w:tcPr>
          <w:p>
            <w:pPr>
              <w:jc w:val="right"/>
              <w:ind w:right="12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ind w:right="1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rPr>
              <w:t>810</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-1474470</wp:posOffset>
            </wp:positionV>
            <wp:extent cx="857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-1460500</wp:posOffset>
            </wp:positionV>
            <wp:extent cx="857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-1132840</wp:posOffset>
            </wp:positionV>
            <wp:extent cx="857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-1118235</wp:posOffset>
            </wp:positionV>
            <wp:extent cx="857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-790575</wp:posOffset>
            </wp:positionV>
            <wp:extent cx="857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-775970</wp:posOffset>
            </wp:positionV>
            <wp:extent cx="857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-534035</wp:posOffset>
            </wp:positionV>
            <wp:extent cx="857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-519430</wp:posOffset>
            </wp:positionV>
            <wp:extent cx="857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-277495</wp:posOffset>
            </wp:positionV>
            <wp:extent cx="857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-262890</wp:posOffset>
            </wp:positionV>
            <wp:extent cx="857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-20955</wp:posOffset>
            </wp:positionV>
            <wp:extent cx="857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5728970</wp:posOffset>
            </wp:positionH>
            <wp:positionV relativeFrom="paragraph">
              <wp:posOffset>-6350</wp:posOffset>
            </wp:positionV>
            <wp:extent cx="857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Notes to Consolidated Financial Statements (Unaudited)</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March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 Organization and Business Purpose</w:t>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J.P. Morgan Real Estate Income Trust, Inc. (the “Company” or “JPMREIT”) was formed on November 5, 2021 as a Maryland corporation and qualifies as a real estate investment trust (“REIT”) for U.S. federal income tax purposes. The Company invests primarily in stabilized, income-generating real estate properties, and to a lesser extent, real estate debt, real estate-related securities and other securities. The Company is the sole general partner of J.P. Morgan REIT Operating Partnership, L.P., a Delaware limited partnership (“Operating Partnership”). J.P. Morgan REIT OP Special Limited Partner, L.P. (the “Special Limited Partner”), an affiliate of J.P. Morgan Investment Management Inc. (the “Adviser” or “JPMIM” and together with its affiliates “J.P. Morgan”), owns a special limited partner interest in the Operating Partnership. Substantially all of the Company’s business is conducted through the Operating Partnership. The Company and the Operating Partnership are externally managed by JPMIM.</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As of March 31, 2026, the Company owned 60 real estate properties consisting of 40 industrial properties, 16 multifamily properties, three retail properties and 126 single-family townhomes that are included as a single property. The Company also has three commercial mortgage-backed securities (“CMBS”) investments and four real estate debt investments. The Company currently operates in five reportable segments: multifamily, industrial, single-family rental, retail, and investments in real estate debt, real estate-related and other securities. See Note 15 for a description of the Company's segment reporting.</w:t>
      </w:r>
    </w:p>
    <w:p>
      <w:pPr>
        <w:spacing w:after="0" w:line="6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The Company depends on the Adviser and its affiliates for certain services that are essential to it, including acquisition and disposition decisions, and certain other responsibilities. If the Adviser and its affiliates were unable or unwilling to provide such services, the Company would be required to find alternative service providers.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Capitalization</w:t>
      </w:r>
    </w:p>
    <w:p>
      <w:pPr>
        <w:spacing w:after="0" w:line="10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On November 15, 2021, the Company was capitalized with a $0.2 million investment by the Adviser in exchange for 20,000 shares of the Company’s Class E common stock. The Adviser has agreed to not sell, transfer or dispose of the shares to any party other than an affiliate of the Adviser for so long as the Adviser or its affiliate performs an advisory function for the Company.</w:t>
      </w:r>
    </w:p>
    <w:p>
      <w:pPr>
        <w:spacing w:after="0" w:line="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5"/>
          <w:szCs w:val="15"/>
          <w:color w:val="auto"/>
        </w:rPr>
        <w:t>On July 22, 2022, the Company commenced its initial public offering of up to $5.0 billion in shares of common stock pursuant to a Registration Statement on Form S-11 filed with the Securities and Exchange Commission (the “SEC”), consisting of up to $4.0 billion in shares in its primary offering and up to $1.0 billion in shares pursuant to its distribution reinvestment plan. On July 8, 2025, the Company filed a Registration Statement on Form S-11 with the SEC for its second public offering of up to $4.8 billion in shares of common stock, consisting of up to $3.8 billion in shares of common stock in the primary offering and up to $1.0 billion in shares of common stock pursuant to the distribution reinvestment plan. On February 4, 2026, the initial public offering terminated and the Company commenced its second public offering, pursuant to which the Company is selling any combination of four classes of shares of its common stock, Class D shares, Class I shares, Class S shares and Class T shares, with a dollar value up to the maximum offering amount (the Company’s public offerings and together with the Company’s private offerings described below, the “Offerings”). The share classes have different upfront selling commissions and ongoing stockholder servicing fees. The purchase price per share for each class of the Company’s common stock will vary and will generally equal the prior month’s net asset value (“NAV”) per share for such class, as determined monthly, plus any applicable upfront selling commissions and dealer manager fees, provided that until the Company has any Class S or Class T shares outstanding, the per-share purchase price for the Company’s Class S and Class T shares will equal the most recently determined NAV per share for the Class E shares, plus applicable upfront selling commissions and dealer manager fees.</w:t>
      </w:r>
    </w:p>
    <w:p>
      <w:pPr>
        <w:spacing w:after="0" w:line="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Pursuant to a separate private offering whose commitments have been fully called, as of March 31, 2026, the Company had sold $67.9 million in Class E shares and $94.2 million in Class E units of the Operating Partnership (“Class E units”), including $5.8 million in Class E shares and $94.2 million in Class E units purchased by JPMIM (the “JPM Initial Capitalization” and together with other Class E shares sold pursuant to such private offering, the “Initial Capitalization”). See Note 13 for further details.</w:t>
      </w:r>
    </w:p>
    <w:p>
      <w:pPr>
        <w:spacing w:after="0" w:line="55" w:lineRule="exact"/>
        <w:rPr>
          <w:sz w:val="20"/>
          <w:szCs w:val="20"/>
          <w:color w:val="auto"/>
        </w:rPr>
      </w:pPr>
    </w:p>
    <w:p>
      <w:pPr>
        <w:ind w:right="8280" w:firstLine="10"/>
        <w:spacing w:after="0" w:line="377" w:lineRule="auto"/>
        <w:tabs>
          <w:tab w:leader="none" w:pos="150"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Basis of Presentation</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include the accounts of the Company, and in the opinion of management, include all necessary adjustments, consisting of only normal and recurring items, necessary for a fair statement of the Company’s financial position and results of operations for the interim period. These financial statements have been prepared by the Company in accordance with accounting principles generally accepted in the United States of America (“GAAP”) for interim financial information and the applicable rules and regulations of the SEC. The accompanying unaudited condensed consolidated interim financial statements should be read in conjunction with the Company’s Annual Report on Form 10-K for the year ended December 31, 2025 filed with the SEC on March 16, 2026.</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40"/>
          </w:cols>
          <w:pgMar w:left="300" w:top="660" w:right="359" w:bottom="1440" w:gutter="0" w:footer="0" w:header="0"/>
        </w:sectPr>
      </w:pPr>
    </w:p>
    <w:bookmarkStart w:id="9" w:name="page10"/>
    <w:bookmarkEnd w:id="9"/>
    <w:p>
      <w:pPr>
        <w:ind w:right="60"/>
        <w:spacing w:after="0" w:line="278" w:lineRule="auto"/>
        <w:rPr>
          <w:sz w:val="20"/>
          <w:szCs w:val="20"/>
          <w:color w:val="auto"/>
        </w:rPr>
      </w:pPr>
      <w:r>
        <w:rPr>
          <w:rFonts w:ascii="Times New Roman" w:cs="Times New Roman" w:eastAsia="Times New Roman" w:hAnsi="Times New Roman"/>
          <w:sz w:val="15"/>
          <w:szCs w:val="15"/>
          <w:color w:val="auto"/>
        </w:rPr>
        <w:t>Certain amounts on the Company’s Condensed Consolidated Statements of Cash Flows for the three months ended March 31, 2025 have been reclassified to conform to the current period presentation. Such reclassification has no effect on previously reported totals or subtotals on the Condensed Consolidated Statements of Cash Flows.</w:t>
      </w:r>
    </w:p>
    <w:p>
      <w:pPr>
        <w:spacing w:after="0" w:line="4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5"/>
          <w:szCs w:val="15"/>
          <w:color w:val="auto"/>
        </w:rPr>
        <w:t>All intercompany balances and transactions have been eliminated in consolidation. The preparation of the financial statements in conformity with GAAP requires management to make estimates and assumptions that affect the reported amounts of assets and liabilities and disclosures of contingent assets and liabilities at the date of the balance sheet. Actual results could differ from those estimates.</w:t>
      </w:r>
    </w:p>
    <w:p>
      <w:pPr>
        <w:spacing w:after="0" w:line="5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There is no other comprehensive income (loss) for the three months ended March 31, 2026 and 2025, resulting in comprehensive income (loss) equaling net income (loss). Accordingly, the statement of other comprehensive income (loss) is not presented.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Principles of Consolidation</w:t>
      </w:r>
    </w:p>
    <w:p>
      <w:pPr>
        <w:spacing w:after="0" w:line="10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include the accounts of the Company and the Company’s subsidiaries in which the Company has a controlling interest. For consolidated joint ventures, the non-controlling partner’s share of the assets, liabilities and operations of the joint ventures is included in non-controlling interests on the Company's Condensed Consolidated Balance Sheets and Condensed Consolidated Statements of Operations. The non-controlling partner’s interest is generally computed as the joint venture partner’s ownership percentage.</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In determining whether the Company has a controlling financial interest in a partially owned entity and the requirement to consolidate the accounts of that entity, the Company considers whether the entity is a variable interest entity (“VIE”) and whether it is the primary beneficiary. The Company is the primary beneficiary of a VIE when it has (i) the power to direct the most significant activities impacting the economic performance of the VIE and (ii) the obligation to absorb losses or receive benefits significant to the VIE. Entities that do not qualify as VIEs are generally considered voting interest entities (“VOEs”) and are evaluated for consolidation under the voting interest model. VOEs are consolidated when the Company controls the entity through a majority voting interest or other means. When the requirements for consolidation are not met and the Company has significant influence over the operations of the entity, the investment is accounted for under the equity method of accounting. Equity method investments for which the Company has not elected a fair value option (“FVO”) are initially recorded at cost and subsequently adjusted for the Company’s pro rata share of net income, contributions and distributions. When the Company elects the FVO, the Company records its share of net asset value of the entity and any related unrealized gains and losses.</w:t>
      </w:r>
    </w:p>
    <w:p>
      <w:pPr>
        <w:spacing w:after="0" w:line="72"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The Operating Partnership is considered to be a VIE. The Company consolidates the Operating Partnership because it has the ability to direct the most significant activities of the entities such as purchases, dispositions, financings, budgets, and overall operating plans.</w:t>
      </w:r>
    </w:p>
    <w:p>
      <w:pPr>
        <w:spacing w:after="0" w:line="49" w:lineRule="exact"/>
        <w:rPr>
          <w:sz w:val="20"/>
          <w:szCs w:val="20"/>
          <w:color w:val="auto"/>
        </w:rPr>
      </w:pPr>
    </w:p>
    <w:p>
      <w:pPr>
        <w:jc w:val="both"/>
        <w:ind w:right="380"/>
        <w:spacing w:after="0" w:line="264" w:lineRule="auto"/>
        <w:rPr>
          <w:sz w:val="20"/>
          <w:szCs w:val="20"/>
          <w:color w:val="auto"/>
        </w:rPr>
      </w:pPr>
      <w:r>
        <w:rPr>
          <w:rFonts w:ascii="Times New Roman" w:cs="Times New Roman" w:eastAsia="Times New Roman" w:hAnsi="Times New Roman"/>
          <w:sz w:val="15"/>
          <w:szCs w:val="15"/>
          <w:color w:val="auto"/>
        </w:rPr>
        <w:t>Each of the Company’s joint ventures is considered to be a VIE. The Company consolidated these entities because it has the ability to direct the most significant activities of the joint venture. The total assets and liabilities of the Company’s consolidated VIEs were $421.3 million and $248.5 million and $423.3 million and $244.9 million as of March 31, 2026 and December 31, 2025, respectively. Such amounts are included on the Company’s Condensed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Investments in Real Estate</w:t>
      </w:r>
    </w:p>
    <w:p>
      <w:pPr>
        <w:spacing w:after="0" w:line="101"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14"/>
          <w:szCs w:val="14"/>
          <w:color w:val="auto"/>
        </w:rPr>
        <w:t>The Company determines whether the acquisition of a property qualifies as a business combination, which requires that the assets acquired and liabilities assumed constitute a business. If the property acquired is not a business, the Company accounts for the transaction as an asset acquisition. All property acquisitions to date have been accounted for as asset acquisitions.</w:t>
      </w:r>
    </w:p>
    <w:p>
      <w:pPr>
        <w:spacing w:after="0" w:line="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Whether the acquisition of a property is considered a business combination or asset acquisition, the Company recognizes the identifiable tangible and intangible assets acquired, the liabilities assumed, and any non-controlling interest in the acquired entity. In addition, for transactions that are business combinations, the Company evaluates the existence of goodwill or a gain from a bargain purchase. The Company expenses acquisition-related costs associated with business combinations as they are incurred and capitalizes acquisition-related costs associated with asset acquisitions.</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Upon the acquisition of a property deemed to be an asset acquisition,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a number of factors including the historical operating results, known and anticipated trends and market and economic conditions.</w:t>
      </w:r>
    </w:p>
    <w:p>
      <w:pPr>
        <w:spacing w:after="0" w:line="6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00" w:top="1113" w:right="339" w:bottom="1440" w:gutter="0" w:footer="0" w:header="0"/>
        </w:sectPr>
      </w:pPr>
    </w:p>
    <w:bookmarkStart w:id="10" w:name="page11"/>
    <w:bookmarkEnd w:id="10"/>
    <w:p>
      <w:pPr>
        <w:ind w:right="60"/>
        <w:spacing w:after="0" w:line="278" w:lineRule="auto"/>
        <w:rPr>
          <w:sz w:val="20"/>
          <w:szCs w:val="20"/>
          <w:color w:val="auto"/>
        </w:rPr>
      </w:pPr>
      <w:r>
        <w:rPr>
          <w:rFonts w:ascii="Times New Roman" w:cs="Times New Roman" w:eastAsia="Times New Roman" w:hAnsi="Times New Roman"/>
          <w:sz w:val="15"/>
          <w:szCs w:val="15"/>
          <w:color w:val="auto"/>
        </w:rPr>
        <w:t>The cost of buildings and improvements includes the purchase price of the Company’s properties and any acquisition-related costs, along with any subsequent capitalized improvements to such properties.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investments in real estate are stated at cost and are generally depreciated on a straight-line basis over the estimated useful lives of the assets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44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Depreciable Life</w:t>
            </w:r>
          </w:p>
        </w:tc>
      </w:tr>
      <w:tr>
        <w:trPr>
          <w:trHeight w:val="172"/>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Buildings</w:t>
            </w:r>
          </w:p>
        </w:tc>
        <w:tc>
          <w:tcPr>
            <w:tcW w:w="440" w:type="dxa"/>
            <w:vAlign w:val="bottom"/>
          </w:tcPr>
          <w:p>
            <w:pPr>
              <w:spacing w:after="0"/>
              <w:rPr>
                <w:sz w:val="14"/>
                <w:szCs w:val="14"/>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15-40 years</w:t>
            </w:r>
          </w:p>
        </w:tc>
      </w:tr>
      <w:tr>
        <w:trPr>
          <w:trHeight w:val="18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Site improvements - buildings and land</w:t>
            </w:r>
          </w:p>
        </w:tc>
        <w:tc>
          <w:tcPr>
            <w:tcW w:w="440" w:type="dxa"/>
            <w:vAlign w:val="bottom"/>
            <w:shd w:val="clear" w:color="auto" w:fill="CFF0FC"/>
          </w:tcPr>
          <w:p>
            <w:pPr>
              <w:spacing w:after="0"/>
              <w:rPr>
                <w:sz w:val="15"/>
                <w:szCs w:val="15"/>
                <w:color w:val="auto"/>
              </w:rPr>
            </w:pPr>
          </w:p>
        </w:tc>
        <w:tc>
          <w:tcPr>
            <w:tcW w:w="4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2-20 years</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440" w:type="dxa"/>
            <w:vAlign w:val="bottom"/>
          </w:tcPr>
          <w:p>
            <w:pPr>
              <w:spacing w:after="0"/>
              <w:rPr>
                <w:sz w:val="15"/>
                <w:szCs w:val="15"/>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5-15 years</w:t>
            </w:r>
          </w:p>
        </w:tc>
      </w:tr>
      <w:tr>
        <w:trPr>
          <w:trHeight w:val="18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Lease intangibles</w:t>
            </w:r>
          </w:p>
        </w:tc>
        <w:tc>
          <w:tcPr>
            <w:tcW w:w="440" w:type="dxa"/>
            <w:vAlign w:val="bottom"/>
            <w:shd w:val="clear" w:color="auto" w:fill="CFF0FC"/>
          </w:tcPr>
          <w:p>
            <w:pPr>
              <w:spacing w:after="0"/>
              <w:rPr>
                <w:sz w:val="15"/>
                <w:szCs w:val="15"/>
                <w:color w:val="auto"/>
              </w:rPr>
            </w:pPr>
          </w:p>
        </w:tc>
        <w:tc>
          <w:tcPr>
            <w:tcW w:w="4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Over lease term</w:t>
            </w:r>
          </w:p>
        </w:tc>
      </w:tr>
    </w:tbl>
    <w:p>
      <w:pPr>
        <w:spacing w:after="0" w:line="7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5"/>
          <w:szCs w:val="15"/>
          <w:color w:val="auto"/>
        </w:rPr>
        <w:t>Repairs and maintenance are expensed to operations as incurred and are included in property operating expenses on the Company’s Condensed Consolidated Statements of Operations. Significant improvements to properties are capitalized. When assets are sold or retired, their costs and related accumulated depreciation are removed from the accounts with the resulting gains or losses reflected in net income or loss for the period.</w:t>
      </w:r>
    </w:p>
    <w:p>
      <w:pPr>
        <w:spacing w:after="0" w:line="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5"/>
          <w:szCs w:val="15"/>
          <w:color w:val="auto"/>
        </w:rPr>
        <w:t>The Company records acquired above-market and below-market leases at their fair values (using a discount rate which reflects the risks associated with the leases acquired). In the case of an above-market lease, the excess payment (the difference between (1) the contractual amounts to be received pursuant to the lease and (2) management’s estimate of fair-market lease rates for the lease, measured over a period equal to the remaining term of the lease) is recorded as an asset on the Company’s Condensed Consolidated Balance Sheets. In the case of a below-market lease, the difference between (1) the contractual amounts to be received pursuant to the lease and (2) management’s estimate of fair-market lease rates for the lease, measured over a period equal to the initial term plus the term of any below-market fixed-rate renewal options is recorded as a liability on the Company’s Condensed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w:t>
      </w:r>
    </w:p>
    <w:p>
      <w:pPr>
        <w:spacing w:after="0" w:line="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In estimating costs to execute similar leases, the Company considers leasing commissions, legal and other related expenses. The amortization of acquired above-market and below-market leases is recorded as an adjustment to rental revenue on the Company’s Condensed Consolidated Statements of Operations. The amortization of in-place leases is recorded as an adjustment to depreciation and amortization expense on the Company’s Condensed Consolidated Statements of Operations.</w:t>
      </w:r>
    </w:p>
    <w:p>
      <w:pPr>
        <w:spacing w:after="0" w:line="5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5"/>
          <w:szCs w:val="15"/>
          <w:color w:val="auto"/>
        </w:rPr>
        <w:t>The Company’s management reviews the Company’s real estate properties for impairment each quarter or when there is an event or change in circumstances that indicates an impaired value. Since cash flows on real estate properties considered to be “long-lived assets to be held and used” are considered on an undiscounted basis to determine whether an asset has been impaired, the Company’s strategy of holding properties over the long term decreases the likelihood of recording an impairment loss. If the Company’s strategy changes or market conditions otherwise dictate an earlier sale date, an impairment loss may be recognized and such loss could be material to the Company’s results. If the Company determines that an impairment has occurred, the affected assets must be reduced to their estimated fair value. During the three months ended March 31, 2026 and 2025, no such impairments occurred.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t>Fair Value Measurements</w:t>
      </w:r>
    </w:p>
    <w:p>
      <w:pPr>
        <w:spacing w:after="0" w:line="1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Under normal market conditions, the fair value of an investment is the amount that would be received to sell an asset or transfer a liability in an orderly transaction between market participants at the measurement date (i.e., the exit price). Additionally, there is a hierarchical framework that prioritizes and ranks the level of market price observability used in measuring investments at fair value. Market price observability is impacted by a number of factors, including the type of investment and the characteristics specific to the investment and the state of the marketplace, including the existence and transparency of transactions between market participants. Investments with readily available active quoted prices or for which fair value can be measured from actively quoted prices generally will have a higher degree of market price observability and a lesser degree of judgment used in measuring fair value. Investments measured and reported at fair value are classified and disclosed in one of the following levels within the fair value hierarchy:</w:t>
      </w:r>
    </w:p>
    <w:p>
      <w:pPr>
        <w:spacing w:after="0" w:line="68" w:lineRule="exact"/>
        <w:rPr>
          <w:sz w:val="20"/>
          <w:szCs w:val="20"/>
          <w:color w:val="auto"/>
        </w:rPr>
      </w:pPr>
    </w:p>
    <w:p>
      <w:pPr>
        <w:ind w:left="1040" w:right="320" w:hanging="520"/>
        <w:spacing w:after="0" w:line="278" w:lineRule="auto"/>
        <w:tabs>
          <w:tab w:leader="none" w:pos="1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 — quoted prices are available in active markets for identical investments as of the measurement date. The Company does not adjust the quoted price for these investments.</w:t>
      </w:r>
    </w:p>
    <w:p>
      <w:pPr>
        <w:spacing w:after="0" w:line="49" w:lineRule="exact"/>
        <w:rPr>
          <w:rFonts w:ascii="Times New Roman" w:cs="Times New Roman" w:eastAsia="Times New Roman" w:hAnsi="Times New Roman"/>
          <w:sz w:val="15"/>
          <w:szCs w:val="15"/>
          <w:color w:val="auto"/>
        </w:rPr>
      </w:pPr>
    </w:p>
    <w:p>
      <w:pPr>
        <w:ind w:left="1040" w:right="640" w:hanging="520"/>
        <w:spacing w:after="0" w:line="278" w:lineRule="auto"/>
        <w:tabs>
          <w:tab w:leader="none" w:pos="1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 — quoted prices are available in markets that are not active, or model inputs are based on inputs that are either directly or indirectly observable as of the measurement date.</w:t>
      </w:r>
    </w:p>
    <w:p>
      <w:pPr>
        <w:spacing w:after="0" w:line="49"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 — pricing inputs are unobservable and include instances where there is minimal, if any, market activity for the investment.</w:t>
      </w:r>
    </w:p>
    <w:p>
      <w:pPr>
        <w:spacing w:after="0" w:line="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5"/>
          <w:szCs w:val="15"/>
          <w:color w:val="auto"/>
        </w:rPr>
        <w:t>These inputs require significant judgment or estimation by management or third parties when determining fair value and generally represent anything that does not meet the criteria of Levels 1 and 2. Due to the inherent uncertainty of these estimates, these values may differ materially from the values that would have been used had a ready market for these investments existed.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of assets and liabilities measured at fair value</w:t>
      </w:r>
    </w:p>
    <w:p>
      <w:pPr>
        <w:spacing w:after="0" w:line="9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5"/>
          <w:szCs w:val="15"/>
          <w:color w:val="auto"/>
        </w:rPr>
        <w:t>The Company’s investments in real estate debt, real estate-related and other securities and derivatives are recorded at fair value. The Company generally determines the fair value of its investments by utilizing third-party pricing service providers. In determining the value of a particular real estate-related security, the pricing service providers may use broker-dealer quotations, reported trades or valuation estimates from their internal pricing models to determine the reported price. The pricing service providers’ internal models for real estate-related securities usually consider the attributes applicable to a particular class of security (e.g., credit rating, seniority), current market data, and estimated cash flows for each class and incorporate deal collateral performance such as prepayment speeds and default rates, as available.</w:t>
      </w:r>
    </w:p>
    <w:p>
      <w:pPr>
        <w:spacing w:after="0" w:line="6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5"/>
          <w:szCs w:val="15"/>
          <w:color w:val="auto"/>
        </w:rPr>
        <w:t>Certain of the Company’s investments in real estate debt that consist of loans secured by real estate, such as commercial mortgage loans, are unlikely to have readily available market quotations. In such cases, the Company will generally determine the initial value based on the origination amount or acquisition price of the investment if acquired by the Company or the par value of the investment if originated by the Company. Following the initial measurement, the Company will determine fair value by utilizing or reviewing certain of the following inputs: (i) market yield data, (ii) discounted cash flow modeling, (iii) collateral asset performance, (iv) local or macro real estate performance, (v) capital market conditions, (vi) debt yield or loan-to-value ratios and (vii) borrower financial condition and performance.</w:t>
      </w:r>
    </w:p>
    <w:p>
      <w:pPr>
        <w:spacing w:after="0" w:line="6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The Company's derivative financial instruments consist of interest rate swaps. The fair value of the Company’s interest rate swaps are estimated using information provided by a third-party valuation service provider based on contractual cash flows and interest calculations using the appropriate discount rate.</w:t>
      </w:r>
    </w:p>
    <w:p>
      <w:pPr>
        <w:spacing w:after="0" w:line="4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Class E units held by the Adviser that are mandatorily redeemable and only subject to delays to the continuous obligation to ultimately redeem such units once sufficient availability exists under the share repurchase agreements (the “Mandatorily Redeemable Instruments”) are carried at their cash redemption value as if the units were repurchased or redeemable at the reporting date, which equals Class E NAV per unit at the reporting date.</w:t>
      </w:r>
    </w:p>
    <w:p>
      <w:pPr>
        <w:spacing w:after="0" w:line="5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The carrying amounts of financial instruments such as other assets, accounts payable, accrued expenses and other liabilities approximate their fair values due to the short-term maturities and market rates of interest of these instruments.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color w:val="auto"/>
        </w:rPr>
        <w:t>The following table details the Company’s assets and liabilities measured at fair value on a recurring basis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2"/>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1"/>
        </w:trPr>
        <w:tc>
          <w:tcPr>
            <w:tcW w:w="41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Assets: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80"/>
        </w:trPr>
        <w:tc>
          <w:tcPr>
            <w:tcW w:w="4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Investments in real estate debt</w:t>
            </w:r>
          </w:p>
        </w:tc>
        <w:tc>
          <w:tcPr>
            <w:tcW w:w="108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304,573</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304,573</w:t>
            </w: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224,600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224,600</w:t>
            </w:r>
          </w:p>
        </w:tc>
      </w:tr>
      <w:tr>
        <w:trPr>
          <w:trHeight w:val="180"/>
        </w:trPr>
        <w:tc>
          <w:tcPr>
            <w:tcW w:w="4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Investments in real estate-related and other securities</w:t>
            </w:r>
          </w:p>
        </w:tc>
        <w:tc>
          <w:tcPr>
            <w:tcW w:w="8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15,095</w:t>
            </w: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15,095</w:t>
            </w:r>
          </w:p>
        </w:tc>
        <w:tc>
          <w:tcPr>
            <w:tcW w:w="2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15,323</w:t>
            </w: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15,323</w:t>
            </w:r>
          </w:p>
        </w:tc>
      </w:tr>
      <w:tr>
        <w:trPr>
          <w:trHeight w:val="171"/>
        </w:trPr>
        <w:tc>
          <w:tcPr>
            <w:tcW w:w="41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08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15,095</w:t>
            </w:r>
          </w:p>
        </w:tc>
        <w:tc>
          <w:tcPr>
            <w:tcW w:w="1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304,573</w:t>
            </w:r>
          </w:p>
        </w:tc>
        <w:tc>
          <w:tcPr>
            <w:tcW w:w="16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319,668</w:t>
            </w:r>
          </w:p>
        </w:tc>
        <w:tc>
          <w:tcPr>
            <w:tcW w:w="2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15,323</w:t>
            </w:r>
          </w:p>
        </w:tc>
        <w:tc>
          <w:tcPr>
            <w:tcW w:w="1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224,600</w:t>
            </w:r>
          </w:p>
        </w:tc>
        <w:tc>
          <w:tcPr>
            <w:tcW w:w="1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239,923</w:t>
            </w:r>
          </w:p>
        </w:tc>
      </w:tr>
      <w:tr>
        <w:trPr>
          <w:trHeight w:val="20"/>
        </w:trPr>
        <w:tc>
          <w:tcPr>
            <w:tcW w:w="4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80"/>
        </w:trPr>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Mandatorily Redeemable Instruments</w:t>
            </w:r>
          </w:p>
        </w:tc>
        <w:tc>
          <w:tcPr>
            <w:tcW w:w="10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22,512</w:t>
            </w:r>
          </w:p>
        </w:tc>
        <w:tc>
          <w:tcPr>
            <w:tcW w:w="1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22,512</w:t>
            </w:r>
          </w:p>
        </w:tc>
        <w:tc>
          <w:tcPr>
            <w:tcW w:w="2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FF0FC"/>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54,794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54,794</w:t>
            </w:r>
          </w:p>
        </w:tc>
      </w:tr>
      <w:tr>
        <w:trPr>
          <w:trHeight w:val="180"/>
        </w:trPr>
        <w:tc>
          <w:tcPr>
            <w:tcW w:w="4120" w:type="dxa"/>
            <w:vAlign w:val="bottom"/>
          </w:tcPr>
          <w:p>
            <w:pPr>
              <w:ind w:left="100"/>
              <w:spacing w:after="0" w:line="180" w:lineRule="exact"/>
              <w:rPr>
                <w:sz w:val="20"/>
                <w:szCs w:val="20"/>
                <w:color w:val="auto"/>
              </w:rPr>
            </w:pPr>
            <w:r>
              <w:rPr>
                <w:rFonts w:ascii="Times New Roman" w:cs="Times New Roman" w:eastAsia="Times New Roman" w:hAnsi="Times New Roman"/>
                <w:sz w:val="15"/>
                <w:szCs w:val="15"/>
                <w:color w:val="auto"/>
              </w:rPr>
              <w:t>Interest rate swaps</w:t>
            </w:r>
            <w:r>
              <w:rPr>
                <w:rFonts w:ascii="Times New Roman" w:cs="Times New Roman" w:eastAsia="Times New Roman" w:hAnsi="Times New Roman"/>
                <w:sz w:val="20"/>
                <w:szCs w:val="20"/>
                <w:color w:val="auto"/>
                <w:vertAlign w:val="superscript"/>
              </w:rPr>
              <w:t>(1)</w:t>
            </w: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366</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366</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w:t>
            </w:r>
          </w:p>
        </w:tc>
      </w:tr>
      <w:tr>
        <w:trPr>
          <w:trHeight w:val="191"/>
        </w:trPr>
        <w:tc>
          <w:tcPr>
            <w:tcW w:w="41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right w:val="single" w:sz="8" w:color="CFF0FC"/>
            </w:tcBorders>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366</w:t>
            </w:r>
          </w:p>
        </w:tc>
        <w:tc>
          <w:tcPr>
            <w:tcW w:w="1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22,512</w:t>
            </w:r>
          </w:p>
        </w:tc>
        <w:tc>
          <w:tcPr>
            <w:tcW w:w="16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22,878</w:t>
            </w:r>
          </w:p>
        </w:tc>
        <w:tc>
          <w:tcPr>
            <w:tcW w:w="22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right w:val="single" w:sz="8" w:color="CFF0FC"/>
            </w:tcBorders>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FF0FC"/>
            </w:tcBorders>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54,794</w:t>
            </w:r>
          </w:p>
        </w:tc>
        <w:tc>
          <w:tcPr>
            <w:tcW w:w="1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55,148</w:t>
            </w: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-740410</wp:posOffset>
            </wp:positionV>
            <wp:extent cx="2857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-740410</wp:posOffset>
            </wp:positionV>
            <wp:extent cx="285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-740410</wp:posOffset>
            </wp:positionV>
            <wp:extent cx="2857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-740410</wp:posOffset>
            </wp:positionV>
            <wp:extent cx="285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-740410</wp:posOffset>
            </wp:positionV>
            <wp:extent cx="2857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-740410</wp:posOffset>
            </wp:positionV>
            <wp:extent cx="285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-740410</wp:posOffset>
            </wp:positionV>
            <wp:extent cx="2159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-20955</wp:posOffset>
            </wp:positionV>
            <wp:extent cx="285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-6350</wp:posOffset>
            </wp:positionV>
            <wp:extent cx="2857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-20955</wp:posOffset>
            </wp:positionV>
            <wp:extent cx="285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-6350</wp:posOffset>
            </wp:positionV>
            <wp:extent cx="285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-20955</wp:posOffset>
            </wp:positionV>
            <wp:extent cx="285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4596130</wp:posOffset>
            </wp:positionH>
            <wp:positionV relativeFrom="paragraph">
              <wp:posOffset>-6350</wp:posOffset>
            </wp:positionV>
            <wp:extent cx="285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-20955</wp:posOffset>
            </wp:positionV>
            <wp:extent cx="285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-6350</wp:posOffset>
            </wp:positionV>
            <wp:extent cx="285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-20955</wp:posOffset>
            </wp:positionV>
            <wp:extent cx="285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-6350</wp:posOffset>
            </wp:positionV>
            <wp:extent cx="285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-20955</wp:posOffset>
            </wp:positionV>
            <wp:extent cx="2857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-6350</wp:posOffset>
            </wp:positionV>
            <wp:extent cx="2857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-20955</wp:posOffset>
            </wp:positionV>
            <wp:extent cx="215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-6350</wp:posOffset>
            </wp:positionV>
            <wp:extent cx="2159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41" w:lineRule="exact"/>
        <w:rPr>
          <w:sz w:val="20"/>
          <w:szCs w:val="20"/>
          <w:color w:val="auto"/>
        </w:rPr>
      </w:pPr>
    </w:p>
    <w:p>
      <w:pPr>
        <w:ind w:left="160" w:hanging="150"/>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Company’s Condensed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Company’s assets and liabilities measured at fair value on a recurring basis using Level 3 inputs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8"/>
              </w:rPr>
              <w:t>Mandatorily</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4"/>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Investments in Real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9"/>
              </w:rPr>
              <w:t>Redeemable</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Estate Debt (asset)</w:t>
            </w:r>
          </w:p>
        </w:tc>
        <w:tc>
          <w:tcPr>
            <w:tcW w:w="1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Instruments (liability)</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80" w:type="dxa"/>
            <w:vAlign w:val="bottom"/>
            <w:gridSpan w:val="4"/>
            <w:shd w:val="clear" w:color="auto" w:fill="CFF0FC"/>
          </w:tcPr>
          <w:p>
            <w:pPr>
              <w:jc w:val="right"/>
              <w:ind w:right="946"/>
              <w:spacing w:after="0" w:line="17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94"/>
              </w:rPr>
              <w:t>224,600</w:t>
            </w:r>
          </w:p>
        </w:tc>
        <w:tc>
          <w:tcPr>
            <w:tcW w:w="800" w:type="dxa"/>
            <w:vAlign w:val="bottom"/>
            <w:gridSpan w:val="3"/>
            <w:shd w:val="clear" w:color="auto" w:fill="CFF0FC"/>
          </w:tcPr>
          <w:p>
            <w:pPr>
              <w:jc w:val="right"/>
              <w:ind w:right="345"/>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54,794</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Additions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Repurchases</w:t>
            </w: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(32,490)</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Distributions declared</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Reclassify to distributions payable/paid</w:t>
            </w: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Redemption value adjustment</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Fair value adjustment</w:t>
            </w:r>
          </w:p>
        </w:tc>
        <w:tc>
          <w:tcPr>
            <w:tcW w:w="13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gridSpan w:val="4"/>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(27)</w:t>
            </w:r>
          </w:p>
        </w:tc>
        <w:tc>
          <w:tcPr>
            <w:tcW w:w="1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374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Balance at March 31, 2026</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00" w:type="dxa"/>
            <w:vAlign w:val="bottom"/>
            <w:gridSpan w:val="2"/>
          </w:tcPr>
          <w:p>
            <w:pPr>
              <w:jc w:val="right"/>
              <w:ind w:right="946"/>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5"/>
                <w:szCs w:val="15"/>
                <w:color w:val="auto"/>
                <w:w w:val="94"/>
              </w:rPr>
              <w:t>304,573</w:t>
            </w:r>
          </w:p>
        </w:tc>
        <w:tc>
          <w:tcPr>
            <w:tcW w:w="140" w:type="dxa"/>
            <w:vAlign w:val="bottom"/>
          </w:tcPr>
          <w:p>
            <w:pPr>
              <w:spacing w:after="0"/>
              <w:rPr>
                <w:sz w:val="14"/>
                <w:szCs w:val="14"/>
                <w:color w:val="auto"/>
              </w:rPr>
            </w:pPr>
          </w:p>
        </w:tc>
        <w:tc>
          <w:tcPr>
            <w:tcW w:w="660" w:type="dxa"/>
            <w:vAlign w:val="bottom"/>
            <w:gridSpan w:val="2"/>
          </w:tcPr>
          <w:p>
            <w:pPr>
              <w:jc w:val="right"/>
              <w:ind w:right="3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22,512</w:t>
            </w:r>
          </w:p>
        </w:tc>
        <w:tc>
          <w:tcPr>
            <w:tcW w:w="0" w:type="dxa"/>
            <w:vAlign w:val="bottom"/>
          </w:tcPr>
          <w:p>
            <w:pPr>
              <w:spacing w:after="0"/>
              <w:rPr>
                <w:sz w:val="1"/>
                <w:szCs w:val="1"/>
                <w:color w:val="auto"/>
              </w:rPr>
            </w:pPr>
          </w:p>
        </w:tc>
      </w:tr>
      <w:tr>
        <w:trPr>
          <w:trHeight w:val="20"/>
        </w:trPr>
        <w:tc>
          <w:tcPr>
            <w:tcW w:w="51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26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The following table contains the quantitative inputs and assumptions used for items categorized in Level 3 of the fair value hierarchy ($ in thousands):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w w:val="98"/>
              </w:rPr>
              <w:t>March 31, 2026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b w:val="1"/>
                <w:bCs w:val="1"/>
                <w:color w:val="auto"/>
                <w:w w:val="99"/>
              </w:rPr>
              <w:t>Impact to</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Valuation from</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Valuation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 -</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an Increase in</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Technique</w:t>
            </w: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Average Rate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Assets:</w:t>
            </w: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real estate debt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304,573</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Discounted cash</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Market credit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center"/>
              <w:spacing w:after="0" w:line="225" w:lineRule="exact"/>
              <w:rPr>
                <w:sz w:val="20"/>
                <w:szCs w:val="20"/>
                <w:color w:val="auto"/>
              </w:rPr>
            </w:pPr>
            <w:r>
              <w:rPr>
                <w:rFonts w:ascii="Times New Roman" w:cs="Times New Roman" w:eastAsia="Times New Roman" w:hAnsi="Times New Roman"/>
                <w:sz w:val="15"/>
                <w:szCs w:val="15"/>
                <w:color w:val="auto"/>
                <w:w w:val="94"/>
              </w:rPr>
              <w:t>SOFR</w:t>
            </w:r>
            <w:r>
              <w:rPr>
                <w:rFonts w:ascii="Times New Roman" w:cs="Times New Roman" w:eastAsia="Times New Roman" w:hAnsi="Times New Roman"/>
                <w:sz w:val="20"/>
                <w:szCs w:val="20"/>
                <w:color w:val="auto"/>
                <w:w w:val="94"/>
                <w:vertAlign w:val="superscript"/>
              </w:rPr>
              <w:t>(1)</w:t>
            </w:r>
            <w:r>
              <w:rPr>
                <w:rFonts w:ascii="Times New Roman" w:cs="Times New Roman" w:eastAsia="Times New Roman" w:hAnsi="Times New Roman"/>
                <w:sz w:val="15"/>
                <w:szCs w:val="15"/>
                <w:color w:val="auto"/>
                <w:w w:val="94"/>
              </w:rPr>
              <w:t xml:space="preserve"> + 2.54%</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flow</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spread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line="165" w:lineRule="exact"/>
              <w:rPr>
                <w:sz w:val="20"/>
                <w:szCs w:val="20"/>
                <w:color w:val="auto"/>
              </w:rPr>
            </w:pPr>
            <w:r>
              <w:rPr>
                <w:rFonts w:ascii="Times New Roman" w:cs="Times New Roman" w:eastAsia="Times New Roman" w:hAnsi="Times New Roman"/>
                <w:sz w:val="15"/>
                <w:szCs w:val="15"/>
                <w:color w:val="auto"/>
                <w:w w:val="99"/>
              </w:rPr>
              <w:t>Discount rate/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gridSpan w:val="3"/>
            <w:vMerge w:val="restart"/>
            <w:shd w:val="clear" w:color="auto" w:fill="CFF0FC"/>
          </w:tcPr>
          <w:p>
            <w:pPr>
              <w:jc w:val="center"/>
              <w:ind w:right="305"/>
              <w:spacing w:after="0"/>
              <w:rPr>
                <w:sz w:val="20"/>
                <w:szCs w:val="20"/>
                <w:color w:val="auto"/>
              </w:rPr>
            </w:pPr>
            <w:r>
              <w:rPr>
                <w:rFonts w:ascii="Times New Roman" w:cs="Times New Roman" w:eastAsia="Times New Roman" w:hAnsi="Times New Roman"/>
                <w:sz w:val="15"/>
                <w:szCs w:val="15"/>
                <w:color w:val="auto"/>
                <w:w w:val="97"/>
              </w:rPr>
              <w:t>7.55%/</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Mandatorily Redeemable Instruments</w:t>
            </w:r>
            <w:r>
              <w:rPr>
                <w:rFonts w:ascii="Times New Roman" w:cs="Times New Roman" w:eastAsia="Times New Roman" w:hAnsi="Times New Roman"/>
                <w:sz w:val="20"/>
                <w:szCs w:val="20"/>
                <w:color w:val="auto"/>
                <w:vertAlign w:val="superscript"/>
              </w:rPr>
              <w:t>(2)</w:t>
            </w:r>
          </w:p>
        </w:tc>
        <w:tc>
          <w:tcPr>
            <w:tcW w:w="1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Discounted cash</w:t>
            </w:r>
          </w:p>
        </w:tc>
        <w:tc>
          <w:tcPr>
            <w:tcW w:w="120" w:type="dxa"/>
            <w:vAlign w:val="bottom"/>
            <w:shd w:val="clear" w:color="auto" w:fill="CFF0FC"/>
          </w:tcPr>
          <w:p>
            <w:pPr>
              <w:spacing w:after="0"/>
              <w:rPr>
                <w:sz w:val="7"/>
                <w:szCs w:val="7"/>
                <w:color w:val="auto"/>
              </w:rPr>
            </w:pPr>
          </w:p>
        </w:tc>
        <w:tc>
          <w:tcPr>
            <w:tcW w:w="1160" w:type="dxa"/>
            <w:vAlign w:val="bottom"/>
            <w:gridSpan w:val="3"/>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Exit capitalization</w:t>
            </w: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00" w:type="dxa"/>
            <w:vAlign w:val="bottom"/>
            <w:gridSpan w:val="3"/>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40" w:type="dxa"/>
            <w:vAlign w:val="bottom"/>
            <w:vMerge w:val="continue"/>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25"/>
              <w:spacing w:after="0" w:line="149" w:lineRule="exact"/>
              <w:rPr>
                <w:sz w:val="20"/>
                <w:szCs w:val="20"/>
                <w:color w:val="auto"/>
              </w:rPr>
            </w:pPr>
            <w:r>
              <w:rPr>
                <w:rFonts w:ascii="Times New Roman" w:cs="Times New Roman" w:eastAsia="Times New Roman" w:hAnsi="Times New Roman"/>
                <w:sz w:val="15"/>
                <w:szCs w:val="15"/>
                <w:color w:val="auto"/>
              </w:rPr>
              <w:t>22,512</w:t>
            </w:r>
          </w:p>
        </w:tc>
        <w:tc>
          <w:tcPr>
            <w:tcW w:w="12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center"/>
              <w:ind w:right="305"/>
              <w:spacing w:after="0" w:line="149" w:lineRule="exact"/>
              <w:rPr>
                <w:sz w:val="20"/>
                <w:szCs w:val="20"/>
                <w:color w:val="auto"/>
              </w:rPr>
            </w:pPr>
            <w:r>
              <w:rPr>
                <w:rFonts w:ascii="Times New Roman" w:cs="Times New Roman" w:eastAsia="Times New Roman" w:hAnsi="Times New Roman"/>
                <w:sz w:val="15"/>
                <w:szCs w:val="15"/>
                <w:color w:val="auto"/>
                <w:w w:val="97"/>
              </w:rPr>
              <w:t>6.13%/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20"/>
        </w:trPr>
        <w:tc>
          <w:tcPr>
            <w:tcW w:w="37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center"/>
              <w:spacing w:after="0" w:line="120" w:lineRule="exact"/>
              <w:rPr>
                <w:sz w:val="20"/>
                <w:szCs w:val="20"/>
                <w:color w:val="auto"/>
              </w:rPr>
            </w:pPr>
            <w:r>
              <w:rPr>
                <w:rFonts w:ascii="Times New Roman" w:cs="Times New Roman" w:eastAsia="Times New Roman" w:hAnsi="Times New Roman"/>
                <w:sz w:val="13"/>
                <w:szCs w:val="13"/>
                <w:color w:val="auto"/>
              </w:rPr>
              <w:t>flow</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80" w:type="dxa"/>
            <w:vAlign w:val="bottom"/>
            <w:shd w:val="clear" w:color="auto" w:fill="CFF0FC"/>
          </w:tcPr>
          <w:p>
            <w:pPr>
              <w:jc w:val="center"/>
              <w:spacing w:after="0" w:line="120" w:lineRule="exact"/>
              <w:rPr>
                <w:sz w:val="20"/>
                <w:szCs w:val="20"/>
                <w:color w:val="auto"/>
              </w:rPr>
            </w:pPr>
            <w:r>
              <w:rPr>
                <w:rFonts w:ascii="Times New Roman" w:cs="Times New Roman" w:eastAsia="Times New Roman" w:hAnsi="Times New Roman"/>
                <w:sz w:val="13"/>
                <w:szCs w:val="13"/>
                <w:color w:val="auto"/>
              </w:rPr>
              <w:t>rate/</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gridSpan w:val="3"/>
            <w:vMerge w:val="restart"/>
            <w:shd w:val="clear" w:color="auto" w:fill="CFF0FC"/>
          </w:tcPr>
          <w:p>
            <w:pPr>
              <w:jc w:val="center"/>
              <w:ind w:right="225"/>
              <w:spacing w:after="0"/>
              <w:rPr>
                <w:sz w:val="20"/>
                <w:szCs w:val="20"/>
                <w:color w:val="auto"/>
              </w:rPr>
            </w:pPr>
            <w:r>
              <w:rPr>
                <w:rFonts w:ascii="Times New Roman" w:cs="Times New Roman" w:eastAsia="Times New Roman" w:hAnsi="Times New Roman"/>
                <w:sz w:val="15"/>
                <w:szCs w:val="15"/>
                <w:color w:val="auto"/>
                <w:w w:val="97"/>
              </w:rPr>
              <w:t>5.26%</w:t>
            </w: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7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Market yield</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00" w:type="dxa"/>
            <w:vAlign w:val="bottom"/>
            <w:gridSpan w:val="3"/>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740" w:type="dxa"/>
            <w:vAlign w:val="bottom"/>
            <w:shd w:val="clear" w:color="auto" w:fill="CFF0FC"/>
          </w:tcPr>
          <w:p>
            <w:pPr>
              <w:spacing w:after="0"/>
              <w:rPr>
                <w:sz w:val="7"/>
                <w:szCs w:val="7"/>
                <w:color w:val="auto"/>
              </w:rPr>
            </w:pPr>
          </w:p>
        </w:tc>
        <w:tc>
          <w:tcPr>
            <w:tcW w:w="1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08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538"/>
        </w:trPr>
        <w:tc>
          <w:tcPr>
            <w:tcW w:w="3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465"/>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3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-2736215</wp:posOffset>
            </wp:positionV>
            <wp:extent cx="1143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8"/>
        </w:trPr>
        <w:tc>
          <w:tcPr>
            <w:tcW w:w="3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b w:val="1"/>
                <w:bCs w:val="1"/>
                <w:color w:val="auto"/>
                <w:w w:val="99"/>
              </w:rPr>
              <w:t>Impact to</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Valuation from</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Valuation</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 -</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an Increase in</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Technique</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Average Rate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c>
          <w:tcPr>
            <w:tcW w:w="0" w:type="dxa"/>
            <w:vAlign w:val="bottom"/>
          </w:tcPr>
          <w:p>
            <w:pPr>
              <w:spacing w:after="0"/>
              <w:rPr>
                <w:sz w:val="1"/>
                <w:szCs w:val="1"/>
                <w:color w:val="auto"/>
              </w:rPr>
            </w:pPr>
          </w:p>
        </w:tc>
      </w:tr>
      <w:tr>
        <w:trPr>
          <w:trHeight w:val="171"/>
        </w:trPr>
        <w:tc>
          <w:tcPr>
            <w:tcW w:w="3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Assets:</w:t>
            </w: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real estate debt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224,600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Discounted cash</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Market credit</w:t>
            </w:r>
          </w:p>
        </w:tc>
        <w:tc>
          <w:tcPr>
            <w:tcW w:w="120" w:type="dxa"/>
            <w:vAlign w:val="bottom"/>
          </w:tcPr>
          <w:p>
            <w:pPr>
              <w:spacing w:after="0"/>
              <w:rPr>
                <w:sz w:val="19"/>
                <w:szCs w:val="19"/>
                <w:color w:val="auto"/>
              </w:rPr>
            </w:pPr>
          </w:p>
        </w:tc>
        <w:tc>
          <w:tcPr>
            <w:tcW w:w="1100" w:type="dxa"/>
            <w:vAlign w:val="bottom"/>
          </w:tcPr>
          <w:p>
            <w:pPr>
              <w:jc w:val="center"/>
              <w:spacing w:after="0" w:line="225" w:lineRule="exact"/>
              <w:rPr>
                <w:sz w:val="20"/>
                <w:szCs w:val="20"/>
                <w:color w:val="auto"/>
              </w:rPr>
            </w:pPr>
            <w:r>
              <w:rPr>
                <w:rFonts w:ascii="Times New Roman" w:cs="Times New Roman" w:eastAsia="Times New Roman" w:hAnsi="Times New Roman"/>
                <w:sz w:val="15"/>
                <w:szCs w:val="15"/>
                <w:color w:val="auto"/>
                <w:w w:val="94"/>
              </w:rPr>
              <w:t>SOFR</w:t>
            </w:r>
            <w:r>
              <w:rPr>
                <w:rFonts w:ascii="Times New Roman" w:cs="Times New Roman" w:eastAsia="Times New Roman" w:hAnsi="Times New Roman"/>
                <w:sz w:val="20"/>
                <w:szCs w:val="20"/>
                <w:color w:val="auto"/>
                <w:w w:val="94"/>
                <w:vertAlign w:val="superscript"/>
              </w:rPr>
              <w:t>(1)</w:t>
            </w:r>
            <w:r>
              <w:rPr>
                <w:rFonts w:ascii="Times New Roman" w:cs="Times New Roman" w:eastAsia="Times New Roman" w:hAnsi="Times New Roman"/>
                <w:sz w:val="15"/>
                <w:szCs w:val="15"/>
                <w:color w:val="auto"/>
                <w:w w:val="94"/>
              </w:rPr>
              <w:t xml:space="preserve"> + 2.69%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flow</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color w:val="auto"/>
              </w:rPr>
              <w:t>spread</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center"/>
              <w:spacing w:after="0" w:line="165" w:lineRule="exact"/>
              <w:rPr>
                <w:sz w:val="20"/>
                <w:szCs w:val="20"/>
                <w:color w:val="auto"/>
              </w:rPr>
            </w:pPr>
            <w:r>
              <w:rPr>
                <w:rFonts w:ascii="Times New Roman" w:cs="Times New Roman" w:eastAsia="Times New Roman" w:hAnsi="Times New Roman"/>
                <w:sz w:val="15"/>
                <w:szCs w:val="15"/>
                <w:color w:val="auto"/>
                <w:w w:val="99"/>
              </w:rPr>
              <w:t>Discount rate/</w:t>
            </w:r>
          </w:p>
        </w:tc>
        <w:tc>
          <w:tcPr>
            <w:tcW w:w="122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7.52%/</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Mandatorily Redeemable Instruments</w:t>
            </w:r>
            <w:r>
              <w:rPr>
                <w:rFonts w:ascii="Times New Roman" w:cs="Times New Roman" w:eastAsia="Times New Roman" w:hAnsi="Times New Roman"/>
                <w:sz w:val="20"/>
                <w:szCs w:val="20"/>
                <w:color w:val="auto"/>
                <w:vertAlign w:val="superscript"/>
              </w:rPr>
              <w:t>(2)</w:t>
            </w:r>
          </w:p>
        </w:tc>
        <w:tc>
          <w:tcPr>
            <w:tcW w:w="1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Discounted cash</w:t>
            </w:r>
          </w:p>
        </w:tc>
        <w:tc>
          <w:tcPr>
            <w:tcW w:w="120" w:type="dxa"/>
            <w:vAlign w:val="bottom"/>
            <w:shd w:val="clear" w:color="auto" w:fill="CFF0FC"/>
          </w:tcPr>
          <w:p>
            <w:pPr>
              <w:spacing w:after="0"/>
              <w:rPr>
                <w:sz w:val="7"/>
                <w:szCs w:val="7"/>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Exit capitalization</w:t>
            </w:r>
          </w:p>
        </w:tc>
        <w:tc>
          <w:tcPr>
            <w:tcW w:w="12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740" w:type="dxa"/>
            <w:vAlign w:val="bottom"/>
            <w:vMerge w:val="continue"/>
            <w:shd w:val="clear" w:color="auto" w:fill="CFF0FC"/>
          </w:tcPr>
          <w:p>
            <w:pPr>
              <w:spacing w:after="0"/>
              <w:rPr>
                <w:sz w:val="12"/>
                <w:szCs w:val="12"/>
                <w:color w:val="auto"/>
              </w:rPr>
            </w:pPr>
          </w:p>
        </w:tc>
        <w:tc>
          <w:tcPr>
            <w:tcW w:w="14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25"/>
              <w:spacing w:after="0" w:line="149" w:lineRule="exact"/>
              <w:rPr>
                <w:sz w:val="20"/>
                <w:szCs w:val="20"/>
                <w:color w:val="auto"/>
              </w:rPr>
            </w:pPr>
            <w:r>
              <w:rPr>
                <w:rFonts w:ascii="Times New Roman" w:cs="Times New Roman" w:eastAsia="Times New Roman" w:hAnsi="Times New Roman"/>
                <w:sz w:val="15"/>
                <w:szCs w:val="15"/>
                <w:color w:val="auto"/>
              </w:rPr>
              <w:t>54,794</w:t>
            </w:r>
          </w:p>
        </w:tc>
        <w:tc>
          <w:tcPr>
            <w:tcW w:w="120" w:type="dxa"/>
            <w:vAlign w:val="bottom"/>
            <w:shd w:val="clear" w:color="auto" w:fill="CFF0FC"/>
          </w:tcPr>
          <w:p>
            <w:pPr>
              <w:spacing w:after="0"/>
              <w:rPr>
                <w:sz w:val="12"/>
                <w:szCs w:val="12"/>
                <w:color w:val="auto"/>
              </w:rPr>
            </w:pPr>
          </w:p>
        </w:tc>
        <w:tc>
          <w:tcPr>
            <w:tcW w:w="11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vMerge w:val="continue"/>
            <w:shd w:val="clear" w:color="auto" w:fill="CFF0FC"/>
          </w:tcPr>
          <w:p>
            <w:pPr>
              <w:spacing w:after="0"/>
              <w:rPr>
                <w:sz w:val="12"/>
                <w:szCs w:val="12"/>
                <w:color w:val="auto"/>
              </w:rPr>
            </w:pPr>
          </w:p>
        </w:tc>
        <w:tc>
          <w:tcPr>
            <w:tcW w:w="122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5"/>
                <w:szCs w:val="15"/>
                <w:color w:val="auto"/>
                <w:w w:val="97"/>
              </w:rPr>
              <w:t>6.07%/</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20"/>
        </w:trPr>
        <w:tc>
          <w:tcPr>
            <w:tcW w:w="37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center"/>
              <w:spacing w:after="0" w:line="120" w:lineRule="exact"/>
              <w:rPr>
                <w:sz w:val="20"/>
                <w:szCs w:val="20"/>
                <w:color w:val="auto"/>
              </w:rPr>
            </w:pPr>
            <w:r>
              <w:rPr>
                <w:rFonts w:ascii="Times New Roman" w:cs="Times New Roman" w:eastAsia="Times New Roman" w:hAnsi="Times New Roman"/>
                <w:sz w:val="13"/>
                <w:szCs w:val="13"/>
                <w:color w:val="auto"/>
              </w:rPr>
              <w:t>flow</w:t>
            </w:r>
          </w:p>
        </w:tc>
        <w:tc>
          <w:tcPr>
            <w:tcW w:w="120" w:type="dxa"/>
            <w:vAlign w:val="bottom"/>
            <w:shd w:val="clear" w:color="auto" w:fill="CFF0FC"/>
          </w:tcPr>
          <w:p>
            <w:pPr>
              <w:spacing w:after="0"/>
              <w:rPr>
                <w:sz w:val="10"/>
                <w:szCs w:val="10"/>
                <w:color w:val="auto"/>
              </w:rPr>
            </w:pPr>
          </w:p>
        </w:tc>
        <w:tc>
          <w:tcPr>
            <w:tcW w:w="1240" w:type="dxa"/>
            <w:vAlign w:val="bottom"/>
            <w:shd w:val="clear" w:color="auto" w:fill="CFF0FC"/>
          </w:tcPr>
          <w:p>
            <w:pPr>
              <w:jc w:val="center"/>
              <w:spacing w:after="0" w:line="120" w:lineRule="exact"/>
              <w:rPr>
                <w:sz w:val="20"/>
                <w:szCs w:val="20"/>
                <w:color w:val="auto"/>
              </w:rPr>
            </w:pPr>
            <w:r>
              <w:rPr>
                <w:rFonts w:ascii="Times New Roman" w:cs="Times New Roman" w:eastAsia="Times New Roman" w:hAnsi="Times New Roman"/>
                <w:sz w:val="13"/>
                <w:szCs w:val="13"/>
                <w:color w:val="auto"/>
              </w:rPr>
              <w:t>rate/</w:t>
            </w:r>
          </w:p>
        </w:tc>
        <w:tc>
          <w:tcPr>
            <w:tcW w:w="1220" w:type="dxa"/>
            <w:vAlign w:val="bottom"/>
            <w:gridSpan w:val="2"/>
            <w:vMerge w:val="restart"/>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w w:val="97"/>
              </w:rPr>
              <w:t>5.44%</w:t>
            </w: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7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Market yield</w:t>
            </w:r>
          </w:p>
        </w:tc>
        <w:tc>
          <w:tcPr>
            <w:tcW w:w="12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740" w:type="dxa"/>
            <w:vAlign w:val="bottom"/>
            <w:shd w:val="clear" w:color="auto" w:fill="CFF0FC"/>
          </w:tcPr>
          <w:p>
            <w:pPr>
              <w:spacing w:after="0"/>
              <w:rPr>
                <w:sz w:val="7"/>
                <w:szCs w:val="7"/>
                <w:color w:val="auto"/>
              </w:rPr>
            </w:pPr>
          </w:p>
        </w:tc>
        <w:tc>
          <w:tcPr>
            <w:tcW w:w="1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60" w:hanging="150"/>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SOFR” refers to the Secured Overnight Financing Rate at March 31, 2026.</w:t>
      </w:r>
    </w:p>
    <w:p>
      <w:pPr>
        <w:ind w:left="160" w:hanging="150"/>
        <w:spacing w:after="0" w:line="194"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Mandatorily Redeemable Instruments are carried at the NAV of the Class E units, which is determined monthly in accordance with the Company's valuation guidelines.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of assets and liabilities not measured at fair value</w:t>
      </w:r>
    </w:p>
    <w:p>
      <w:pPr>
        <w:spacing w:after="0" w:line="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The fair value of the Company’s financial instruments (other than mortgage notes, repurchase facility and the unsecured revolving credit facility), including cash and cash equivalents and other financial instruments, approximate their carrying or contract value. The fair value of the Company’s indebtedness is estimated by modeling the cash flows required by the Company’s debt agreements and discounting them back to the present value using an appropriate discount rate. Additionally, the Company considers current market rates and conditions by evaluating similar borrowing agreements with comparable loan-to-value ratios and credit profiles. The inputs used in determining the fair value of the Company’s indebtedness are considered Level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carrying value and fair value of financial instruments that are not carried at fair value on the Condensed Consolidated Balance Sheets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380" w:type="dxa"/>
            <w:vAlign w:val="bottom"/>
            <w:tcBorders>
              <w:bottom w:val="single" w:sz="8" w:color="auto"/>
            </w:tcBorders>
          </w:tcPr>
          <w:p>
            <w:pPr>
              <w:spacing w:after="0"/>
              <w:rPr>
                <w:sz w:val="17"/>
                <w:szCs w:val="17"/>
                <w:color w:val="auto"/>
              </w:rPr>
            </w:pPr>
          </w:p>
        </w:tc>
      </w:tr>
      <w:tr>
        <w:trPr>
          <w:trHeight w:val="171"/>
        </w:trPr>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06"/>
              <w:spacing w:after="0" w:line="172" w:lineRule="exact"/>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85"/>
              <w:spacing w:after="0" w:line="172"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66"/>
              <w:spacing w:after="0" w:line="172" w:lineRule="exact"/>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5"/>
              <w:spacing w:after="0" w:line="172" w:lineRule="exact"/>
              <w:rPr>
                <w:sz w:val="20"/>
                <w:szCs w:val="20"/>
                <w:color w:val="auto"/>
              </w:rPr>
            </w:pPr>
            <w:r>
              <w:rPr>
                <w:rFonts w:ascii="Times New Roman" w:cs="Times New Roman" w:eastAsia="Times New Roman" w:hAnsi="Times New Roman"/>
                <w:sz w:val="15"/>
                <w:szCs w:val="15"/>
                <w:b w:val="1"/>
                <w:bCs w:val="1"/>
                <w:color w:val="auto"/>
              </w:rPr>
              <w:t>Fair Value</w:t>
            </w:r>
          </w:p>
        </w:tc>
      </w:tr>
      <w:tr>
        <w:trPr>
          <w:trHeight w:val="171"/>
        </w:trPr>
        <w:tc>
          <w:tcPr>
            <w:tcW w:w="3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Mortgage notes</w:t>
            </w: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shd w:val="clear" w:color="auto" w:fill="CFF0FC"/>
          </w:tcPr>
          <w:p>
            <w:pPr>
              <w:jc w:val="right"/>
              <w:ind w:right="86"/>
              <w:spacing w:after="0" w:line="171" w:lineRule="exact"/>
              <w:rPr>
                <w:sz w:val="20"/>
                <w:szCs w:val="20"/>
                <w:color w:val="auto"/>
              </w:rPr>
            </w:pPr>
            <w:r>
              <w:rPr>
                <w:rFonts w:ascii="Times New Roman" w:cs="Times New Roman" w:eastAsia="Times New Roman" w:hAnsi="Times New Roman"/>
                <w:sz w:val="15"/>
                <w:szCs w:val="15"/>
                <w:color w:val="auto"/>
              </w:rPr>
              <w:t>369,604</w:t>
            </w:r>
          </w:p>
        </w:tc>
        <w:tc>
          <w:tcPr>
            <w:tcW w:w="580" w:type="dxa"/>
            <w:vAlign w:val="bottom"/>
            <w:gridSpan w:val="2"/>
            <w:shd w:val="clear" w:color="auto" w:fill="CFF0FC"/>
          </w:tcPr>
          <w:p>
            <w:pPr>
              <w:jc w:val="right"/>
              <w:ind w:right="3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370,635</w:t>
            </w:r>
          </w:p>
        </w:tc>
        <w:tc>
          <w:tcPr>
            <w:tcW w:w="36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80" w:type="dxa"/>
            <w:vAlign w:val="bottom"/>
            <w:shd w:val="clear" w:color="auto" w:fill="CFF0FC"/>
          </w:tcPr>
          <w:p>
            <w:pPr>
              <w:jc w:val="right"/>
              <w:ind w:right="66"/>
              <w:spacing w:after="0" w:line="171" w:lineRule="exact"/>
              <w:rPr>
                <w:sz w:val="20"/>
                <w:szCs w:val="20"/>
                <w:color w:val="auto"/>
              </w:rPr>
            </w:pPr>
            <w:r>
              <w:rPr>
                <w:rFonts w:ascii="Times New Roman" w:cs="Times New Roman" w:eastAsia="Times New Roman" w:hAnsi="Times New Roman"/>
                <w:sz w:val="15"/>
                <w:szCs w:val="15"/>
                <w:color w:val="auto"/>
              </w:rPr>
              <w:t>365,641</w:t>
            </w:r>
          </w:p>
        </w:tc>
        <w:tc>
          <w:tcPr>
            <w:tcW w:w="660" w:type="dxa"/>
            <w:vAlign w:val="bottom"/>
            <w:gridSpan w:val="2"/>
            <w:shd w:val="clear" w:color="auto" w:fill="CFF0FC"/>
          </w:tcPr>
          <w:p>
            <w:pPr>
              <w:jc w:val="right"/>
              <w:ind w:righ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366,381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Repurchase facility</w:t>
            </w:r>
          </w:p>
        </w:tc>
        <w:tc>
          <w:tcPr>
            <w:tcW w:w="180" w:type="dxa"/>
            <w:vAlign w:val="bottom"/>
          </w:tcPr>
          <w:p>
            <w:pPr>
              <w:spacing w:after="0"/>
              <w:rPr>
                <w:sz w:val="15"/>
                <w:szCs w:val="15"/>
                <w:color w:val="auto"/>
              </w:rPr>
            </w:pPr>
          </w:p>
        </w:tc>
        <w:tc>
          <w:tcPr>
            <w:tcW w:w="172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228,450</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228,450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168,450</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168,450</w:t>
            </w:r>
          </w:p>
        </w:tc>
      </w:tr>
      <w:tr>
        <w:trPr>
          <w:trHeight w:val="180"/>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Unsecured revolving credit facility</w:t>
            </w:r>
          </w:p>
        </w:tc>
        <w:tc>
          <w:tcPr>
            <w:tcW w:w="180" w:type="dxa"/>
            <w:vAlign w:val="bottom"/>
            <w:tcBorders>
              <w:bottom w:val="single" w:sz="8" w:color="auto"/>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5"/>
                <w:szCs w:val="15"/>
                <w:color w:val="auto"/>
              </w:rPr>
              <w:t>73,000</w:t>
            </w:r>
          </w:p>
        </w:tc>
        <w:tc>
          <w:tcPr>
            <w:tcW w:w="1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73,000</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73,000</w:t>
            </w:r>
          </w:p>
        </w:tc>
        <w:tc>
          <w:tcPr>
            <w:tcW w:w="1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73,000</w:t>
            </w:r>
          </w:p>
        </w:tc>
      </w:tr>
      <w:tr>
        <w:trPr>
          <w:trHeight w:val="171"/>
        </w:trPr>
        <w:tc>
          <w:tcPr>
            <w:tcW w:w="32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ind w:right="86"/>
              <w:spacing w:after="0" w:line="171" w:lineRule="exact"/>
              <w:rPr>
                <w:sz w:val="20"/>
                <w:szCs w:val="20"/>
                <w:color w:val="auto"/>
              </w:rPr>
            </w:pPr>
            <w:r>
              <w:rPr>
                <w:rFonts w:ascii="Times New Roman" w:cs="Times New Roman" w:eastAsia="Times New Roman" w:hAnsi="Times New Roman"/>
                <w:sz w:val="15"/>
                <w:szCs w:val="15"/>
                <w:color w:val="auto"/>
              </w:rPr>
              <w:t>671,054</w:t>
            </w:r>
          </w:p>
        </w:tc>
        <w:tc>
          <w:tcPr>
            <w:tcW w:w="580" w:type="dxa"/>
            <w:vAlign w:val="bottom"/>
            <w:gridSpan w:val="2"/>
          </w:tcPr>
          <w:p>
            <w:pPr>
              <w:jc w:val="right"/>
              <w:ind w:right="3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672,085</w:t>
            </w:r>
          </w:p>
        </w:tc>
        <w:tc>
          <w:tcPr>
            <w:tcW w:w="36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66"/>
              <w:spacing w:after="0" w:line="171" w:lineRule="exact"/>
              <w:rPr>
                <w:sz w:val="20"/>
                <w:szCs w:val="20"/>
                <w:color w:val="auto"/>
              </w:rPr>
            </w:pPr>
            <w:r>
              <w:rPr>
                <w:rFonts w:ascii="Times New Roman" w:cs="Times New Roman" w:eastAsia="Times New Roman" w:hAnsi="Times New Roman"/>
                <w:sz w:val="15"/>
                <w:szCs w:val="15"/>
                <w:color w:val="auto"/>
              </w:rPr>
              <w:t>607,091</w:t>
            </w:r>
          </w:p>
        </w:tc>
        <w:tc>
          <w:tcPr>
            <w:tcW w:w="660" w:type="dxa"/>
            <w:vAlign w:val="bottom"/>
            <w:gridSpan w:val="2"/>
          </w:tcPr>
          <w:p>
            <w:pPr>
              <w:jc w:val="right"/>
              <w:ind w:righ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607,831</w:t>
            </w:r>
          </w:p>
        </w:tc>
      </w:tr>
      <w:tr>
        <w:trPr>
          <w:trHeight w:val="20"/>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-141605</wp:posOffset>
            </wp:positionV>
            <wp:extent cx="1143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-141605</wp:posOffset>
            </wp:positionV>
            <wp:extent cx="1143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5864860</wp:posOffset>
            </wp:positionH>
            <wp:positionV relativeFrom="paragraph">
              <wp:posOffset>-141605</wp:posOffset>
            </wp:positionV>
            <wp:extent cx="11430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pacing w:after="0" w:line="41" w:lineRule="exact"/>
        <w:rPr>
          <w:sz w:val="20"/>
          <w:szCs w:val="20"/>
          <w:color w:val="auto"/>
        </w:rPr>
      </w:pPr>
    </w:p>
    <w:p>
      <w:pPr>
        <w:ind w:left="160" w:hanging="150"/>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deferred financing costs and discounts.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9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 xml:space="preserve">In November 2024, the Financial Accounting Standards Board (“FASB”) issued ASU 2024-03, </w:t>
      </w:r>
      <w:r>
        <w:rPr>
          <w:rFonts w:ascii="Times New Roman" w:cs="Times New Roman" w:eastAsia="Times New Roman" w:hAnsi="Times New Roman"/>
          <w:sz w:val="15"/>
          <w:szCs w:val="15"/>
          <w:i w:val="1"/>
          <w:iCs w:val="1"/>
          <w:color w:val="auto"/>
        </w:rPr>
        <w:t>Income Statement-Reporting Comprehensive Income-Expense Disaggregation Disclosures</w:t>
      </w:r>
      <w:r>
        <w:rPr>
          <w:rFonts w:ascii="Times New Roman" w:cs="Times New Roman" w:eastAsia="Times New Roman" w:hAnsi="Times New Roman"/>
          <w:sz w:val="15"/>
          <w:szCs w:val="15"/>
          <w:color w:val="auto"/>
        </w:rPr>
        <w:t xml:space="preserve"> (Subtopic 220-40): </w:t>
      </w:r>
      <w:r>
        <w:rPr>
          <w:rFonts w:ascii="Times New Roman" w:cs="Times New Roman" w:eastAsia="Times New Roman" w:hAnsi="Times New Roman"/>
          <w:sz w:val="15"/>
          <w:szCs w:val="15"/>
          <w:i w:val="1"/>
          <w:iCs w:val="1"/>
          <w:color w:val="auto"/>
        </w:rPr>
        <w:t>Disaggregation of Income Statement Expenses</w:t>
      </w:r>
      <w:r>
        <w:rPr>
          <w:rFonts w:ascii="Times New Roman" w:cs="Times New Roman" w:eastAsia="Times New Roman" w:hAnsi="Times New Roman"/>
          <w:sz w:val="15"/>
          <w:szCs w:val="15"/>
          <w:color w:val="auto"/>
        </w:rPr>
        <w:t xml:space="preserve"> (“ASU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On July 4, 2025, President Trump signed into law the One Big Beautiful Bill Act (the “OBBBA”). The OBBBA permanently extended certain provisions that were enacted in the Tax Cuts and Jobs Act of 2017. Such extensions included the permanent extension of the 20% deduction for “qualified REIT dividends” for individuals and other non-corporate taxpayers. The OBBBA also increased the percentage limit under the REIT asset test applicable to taxable REIT subsidiaries (“TRSs”) (the permissible value of TRS securities that a REIT may hold) from 20% to 25% of the value of the REIT’s total assets for taxable years beginning after December 31, 2025. The OBBBA did not have a material impact on the Company’s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19" w:right="319" w:bottom="1440" w:gutter="0" w:footer="0" w:header="0"/>
        </w:sectPr>
      </w:pPr>
    </w:p>
    <w:bookmarkStart w:id="14" w:name="page15"/>
    <w:bookmarkEnd w:id="14"/>
    <w:p>
      <w:pPr>
        <w:ind w:right="260"/>
        <w:spacing w:after="0" w:line="257" w:lineRule="auto"/>
        <w:rPr>
          <w:sz w:val="20"/>
          <w:szCs w:val="20"/>
          <w:color w:val="auto"/>
        </w:rPr>
      </w:pPr>
      <w:r>
        <w:rPr>
          <w:rFonts w:ascii="Times New Roman" w:cs="Times New Roman" w:eastAsia="Times New Roman" w:hAnsi="Times New Roman"/>
          <w:sz w:val="15"/>
          <w:szCs w:val="15"/>
          <w:color w:val="auto"/>
        </w:rPr>
        <w:t xml:space="preserve">In December 2025, FASB issued ASU 2025-09,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xml:space="preserve"> (Topic 815): </w:t>
      </w:r>
      <w:r>
        <w:rPr>
          <w:rFonts w:ascii="Times New Roman" w:cs="Times New Roman" w:eastAsia="Times New Roman" w:hAnsi="Times New Roman"/>
          <w:sz w:val="15"/>
          <w:szCs w:val="15"/>
          <w:i w:val="1"/>
          <w:iCs w:val="1"/>
          <w:color w:val="auto"/>
        </w:rPr>
        <w:t>Hedge Accounting Improvements</w:t>
      </w:r>
      <w:r>
        <w:rPr>
          <w:rFonts w:ascii="Times New Roman" w:cs="Times New Roman" w:eastAsia="Times New Roman" w:hAnsi="Times New Roman"/>
          <w:sz w:val="15"/>
          <w:szCs w:val="15"/>
          <w:color w:val="auto"/>
        </w:rPr>
        <w:t xml:space="preserve">, which amends the guidance in ASC 815, </w:t>
      </w:r>
      <w:r>
        <w:rPr>
          <w:rFonts w:ascii="Times New Roman" w:cs="Times New Roman" w:eastAsia="Times New Roman" w:hAnsi="Times New Roman"/>
          <w:sz w:val="15"/>
          <w:szCs w:val="15"/>
          <w:i w:val="1"/>
          <w:iCs w:val="1"/>
          <w:color w:val="auto"/>
        </w:rPr>
        <w:t>Derivatives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Hedging</w:t>
      </w:r>
      <w:r>
        <w:rPr>
          <w:rFonts w:ascii="Times New Roman" w:cs="Times New Roman" w:eastAsia="Times New Roman" w:hAnsi="Times New Roman"/>
          <w:sz w:val="15"/>
          <w:szCs w:val="15"/>
          <w:color w:val="auto"/>
        </w:rPr>
        <w:t>. The update refines certain hedge accounting requirements, including clarifications to the designation and documentation criteria for hedge relationships, improvements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assessment of hedge effectiveness, and enhanced disclosures intended to provide greater transparency into an entity’s risk management activities involving derivatives. ASU 2025-09 is effective for annual periods beginning after December 15, 2026, including interim periods within those annual periods, and early adoption is permitted. The Company is currently evaluating the potential impact of the guidance and potential additional disclosures required.</w:t>
      </w:r>
    </w:p>
    <w:p>
      <w:pPr>
        <w:spacing w:after="0" w:line="64"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5"/>
          <w:szCs w:val="15"/>
          <w:color w:val="auto"/>
        </w:rPr>
        <w:t xml:space="preserve">In December 2025, FASB issued ASU 2025-11, </w:t>
      </w:r>
      <w:r>
        <w:rPr>
          <w:rFonts w:ascii="Times New Roman" w:cs="Times New Roman" w:eastAsia="Times New Roman" w:hAnsi="Times New Roman"/>
          <w:sz w:val="15"/>
          <w:szCs w:val="15"/>
          <w:i w:val="1"/>
          <w:iCs w:val="1"/>
          <w:color w:val="auto"/>
        </w:rPr>
        <w:t>Interim Reporting</w:t>
      </w:r>
      <w:r>
        <w:rPr>
          <w:rFonts w:ascii="Times New Roman" w:cs="Times New Roman" w:eastAsia="Times New Roman" w:hAnsi="Times New Roman"/>
          <w:sz w:val="15"/>
          <w:szCs w:val="15"/>
          <w:color w:val="auto"/>
        </w:rPr>
        <w:t xml:space="preserve"> (Topic 270): </w:t>
      </w:r>
      <w:r>
        <w:rPr>
          <w:rFonts w:ascii="Times New Roman" w:cs="Times New Roman" w:eastAsia="Times New Roman" w:hAnsi="Times New Roman"/>
          <w:sz w:val="15"/>
          <w:szCs w:val="15"/>
          <w:i w:val="1"/>
          <w:iCs w:val="1"/>
          <w:color w:val="auto"/>
        </w:rPr>
        <w:t>Narrow-Scope Improvements</w:t>
      </w:r>
      <w:r>
        <w:rPr>
          <w:rFonts w:ascii="Times New Roman" w:cs="Times New Roman" w:eastAsia="Times New Roman" w:hAnsi="Times New Roman"/>
          <w:sz w:val="15"/>
          <w:szCs w:val="15"/>
          <w:color w:val="auto"/>
        </w:rPr>
        <w:t xml:space="preserve"> (“ASU 2025-11”). ASU 2025-11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2026. The Company is currently evaluating the potential impact of the guidance and potential additional disclosures required.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Investments in Real Estate</w:t>
            </w:r>
          </w:p>
        </w:tc>
        <w:tc>
          <w:tcPr>
            <w:tcW w:w="1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69"/>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real estate, net consisted of the following ($ in thousands):</w:t>
            </w:r>
          </w:p>
        </w:tc>
        <w:tc>
          <w:tcPr>
            <w:tcW w:w="1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70"/>
        </w:trPr>
        <w:tc>
          <w:tcPr>
            <w:tcW w:w="616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76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61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Building and building improvements</w:t>
            </w:r>
          </w:p>
        </w:tc>
        <w:tc>
          <w:tcPr>
            <w:tcW w:w="1600" w:type="dxa"/>
            <w:vAlign w:val="bottom"/>
            <w:shd w:val="clear" w:color="auto" w:fill="CFF0FC"/>
          </w:tcPr>
          <w:p>
            <w:pPr>
              <w:jc w:val="right"/>
              <w:ind w:right="144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849,647</w:t>
            </w:r>
          </w:p>
        </w:tc>
        <w:tc>
          <w:tcPr>
            <w:tcW w:w="580" w:type="dxa"/>
            <w:vAlign w:val="bottom"/>
            <w:gridSpan w:val="2"/>
            <w:shd w:val="clear" w:color="auto" w:fill="CFF0FC"/>
          </w:tcPr>
          <w:p>
            <w:pPr>
              <w:jc w:val="right"/>
              <w:ind w:right="240"/>
              <w:spacing w:after="0" w:line="172" w:lineRule="exact"/>
              <w:rPr>
                <w:sz w:val="20"/>
                <w:szCs w:val="20"/>
                <w:color w:val="auto"/>
              </w:rPr>
            </w:pPr>
            <w:r>
              <w:rPr>
                <w:rFonts w:ascii="Times New Roman" w:cs="Times New Roman" w:eastAsia="Times New Roman" w:hAnsi="Times New Roman"/>
                <w:sz w:val="15"/>
                <w:szCs w:val="15"/>
                <w:color w:val="auto"/>
              </w:rPr>
              <w:t>$</w:t>
            </w:r>
          </w:p>
        </w:tc>
        <w:tc>
          <w:tcPr>
            <w:tcW w:w="218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844,419</w:t>
            </w:r>
          </w:p>
        </w:tc>
      </w:tr>
      <w:tr>
        <w:trPr>
          <w:trHeight w:val="180"/>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Land and land improvements</w:t>
            </w:r>
          </w:p>
        </w:tc>
        <w:tc>
          <w:tcPr>
            <w:tcW w:w="16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345,290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345,103</w:t>
            </w:r>
          </w:p>
        </w:tc>
      </w:tr>
      <w:tr>
        <w:trPr>
          <w:trHeight w:val="18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Furniture, fixtures and equipment</w:t>
            </w:r>
          </w:p>
        </w:tc>
        <w:tc>
          <w:tcPr>
            <w:tcW w:w="16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8,380</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8,355</w:t>
            </w:r>
          </w:p>
        </w:tc>
      </w:tr>
      <w:tr>
        <w:trPr>
          <w:trHeight w:val="171"/>
        </w:trPr>
        <w:tc>
          <w:tcPr>
            <w:tcW w:w="61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600" w:type="dxa"/>
            <w:vAlign w:val="bottom"/>
          </w:tcPr>
          <w:p>
            <w:pPr>
              <w:spacing w:after="0"/>
              <w:rPr>
                <w:sz w:val="14"/>
                <w:szCs w:val="14"/>
                <w:color w:val="auto"/>
              </w:rPr>
            </w:pPr>
          </w:p>
        </w:tc>
        <w:tc>
          <w:tcPr>
            <w:tcW w:w="76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99"/>
              </w:rPr>
              <w:t>1,203,317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1,197,877</w:t>
            </w:r>
          </w:p>
        </w:tc>
      </w:tr>
      <w:tr>
        <w:trPr>
          <w:trHeight w:val="18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6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(47,979)</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1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(38,245)</w:t>
            </w:r>
          </w:p>
        </w:tc>
      </w:tr>
      <w:tr>
        <w:trPr>
          <w:trHeight w:val="171"/>
        </w:trPr>
        <w:tc>
          <w:tcPr>
            <w:tcW w:w="61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Investments in real estate, net</w:t>
            </w:r>
          </w:p>
        </w:tc>
        <w:tc>
          <w:tcPr>
            <w:tcW w:w="1600" w:type="dxa"/>
            <w:vAlign w:val="bottom"/>
          </w:tcPr>
          <w:p>
            <w:pPr>
              <w:jc w:val="right"/>
              <w:ind w:right="14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99"/>
              </w:rPr>
              <w:t>1,155,338</w:t>
            </w:r>
          </w:p>
        </w:tc>
        <w:tc>
          <w:tcPr>
            <w:tcW w:w="580" w:type="dxa"/>
            <w:vAlign w:val="bottom"/>
            <w:gridSpan w:val="2"/>
          </w:tcPr>
          <w:p>
            <w:pPr>
              <w:jc w:val="right"/>
              <w:ind w:right="2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1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1,159,632</w:t>
            </w:r>
          </w:p>
        </w:tc>
      </w:tr>
      <w:tr>
        <w:trPr>
          <w:trHeight w:val="20"/>
        </w:trPr>
        <w:tc>
          <w:tcPr>
            <w:tcW w:w="6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-377190</wp:posOffset>
            </wp:positionV>
            <wp:extent cx="1638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3830" cy="6985"/>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-141605</wp:posOffset>
            </wp:positionV>
            <wp:extent cx="1638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3830" cy="698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Acquisitions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were no acquisitions during the three months ended March 31,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Investments in Real Estate Debt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Company’s investments in real estate debt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Weighted-Average</w:t>
            </w: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Real Estate Debt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5"/>
                <w:szCs w:val="15"/>
                <w:b w:val="1"/>
                <w:bCs w:val="1"/>
                <w:color w:val="auto"/>
              </w:rPr>
              <w:t>Positions</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Credit Rating</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Coupon</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w w:val="99"/>
              </w:rPr>
              <w:t>Cost Basis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9"/>
              </w:rPr>
              <w:t>Cost Basis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Commercial Mortgage Loan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7"/>
              </w:rPr>
              <w:t>Not Rated</w:t>
            </w: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9"/>
              </w:rPr>
              <w:t>SOFR + 2.52%</w:t>
            </w: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center"/>
              <w:ind w:right="120"/>
              <w:spacing w:after="0" w:line="172" w:lineRule="exact"/>
              <w:rPr>
                <w:sz w:val="20"/>
                <w:szCs w:val="20"/>
                <w:color w:val="auto"/>
              </w:rPr>
            </w:pPr>
            <w:r>
              <w:rPr>
                <w:rFonts w:ascii="Times New Roman" w:cs="Times New Roman" w:eastAsia="Times New Roman" w:hAnsi="Times New Roman"/>
                <w:sz w:val="15"/>
                <w:szCs w:val="15"/>
                <w:color w:val="auto"/>
              </w:rPr>
              <w:t>December 15, 2027</w:t>
            </w:r>
          </w:p>
        </w:tc>
        <w:tc>
          <w:tcPr>
            <w:tcW w:w="10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304,600</w:t>
            </w:r>
          </w:p>
        </w:tc>
        <w:tc>
          <w:tcPr>
            <w:tcW w:w="180" w:type="dxa"/>
            <w:vAlign w:val="bottom"/>
            <w:gridSpan w:val="2"/>
            <w:shd w:val="clear" w:color="auto" w:fill="CFF0FC"/>
          </w:tcPr>
          <w:p>
            <w:pPr>
              <w:jc w:val="right"/>
              <w:ind w:righ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304,573</w:t>
            </w:r>
          </w:p>
        </w:tc>
        <w:tc>
          <w:tcPr>
            <w:tcW w:w="200" w:type="dxa"/>
            <w:vAlign w:val="bottom"/>
            <w:gridSpan w:val="2"/>
            <w:shd w:val="clear" w:color="auto" w:fill="CFF0FC"/>
          </w:tcPr>
          <w:p>
            <w:pPr>
              <w:jc w:val="right"/>
              <w:ind w:righ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224,600</w:t>
            </w:r>
          </w:p>
        </w:tc>
        <w:tc>
          <w:tcPr>
            <w:tcW w:w="18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224,600</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Originations</w:t>
      </w:r>
    </w:p>
    <w:p>
      <w:pPr>
        <w:spacing w:after="0" w:line="99"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5"/>
          <w:szCs w:val="15"/>
          <w:color w:val="auto"/>
        </w:rPr>
        <w:t>On January 14, 2026, the Company originated an $84.0 million whole loan, of which $80.0 million has been funded, for the acquisition and renovation of a 198-unit, 1986-vintage, townhome style multifamily property in the San Diego, California Metropolitan Statistical Area.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amounts recognized for the Company's investments in real estate debt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580" w:type="dxa"/>
            <w:vAlign w:val="bottom"/>
            <w:tcBorders>
              <w:bottom w:val="single" w:sz="8" w:color="auto"/>
            </w:tcBorders>
            <w:gridSpan w:val="4"/>
          </w:tcPr>
          <w:p>
            <w:pPr>
              <w:jc w:val="right"/>
              <w:ind w:right="585"/>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840" w:type="dxa"/>
            <w:vAlign w:val="bottom"/>
            <w:tcBorders>
              <w:bottom w:val="single" w:sz="8" w:color="auto"/>
            </w:tcBorders>
          </w:tcPr>
          <w:p>
            <w:pPr>
              <w:spacing w:after="0"/>
              <w:rPr>
                <w:sz w:val="17"/>
                <w:szCs w:val="17"/>
                <w:color w:val="auto"/>
              </w:rPr>
            </w:pPr>
          </w:p>
        </w:tc>
      </w:tr>
      <w:tr>
        <w:trPr>
          <w:trHeight w:val="172"/>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2026</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840" w:type="dxa"/>
            <w:vAlign w:val="bottom"/>
            <w:tcBorders>
              <w:bottom w:val="single" w:sz="8" w:color="auto"/>
            </w:tcBorders>
          </w:tcPr>
          <w:p>
            <w:pPr>
              <w:spacing w:after="0"/>
              <w:rPr>
                <w:sz w:val="14"/>
                <w:szCs w:val="14"/>
                <w:color w:val="auto"/>
              </w:rPr>
            </w:pPr>
          </w:p>
        </w:tc>
      </w:tr>
      <w:tr>
        <w:trPr>
          <w:trHeight w:val="171"/>
        </w:trPr>
        <w:tc>
          <w:tcPr>
            <w:tcW w:w="3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Interest income</w:t>
            </w:r>
          </w:p>
        </w:tc>
        <w:tc>
          <w:tcPr>
            <w:tcW w:w="4340" w:type="dxa"/>
            <w:vAlign w:val="bottom"/>
            <w:gridSpan w:val="2"/>
            <w:shd w:val="clear" w:color="auto" w:fill="CFF0FC"/>
          </w:tcPr>
          <w:p>
            <w:pPr>
              <w:jc w:val="right"/>
              <w:ind w:right="15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5,209</w:t>
            </w:r>
          </w:p>
        </w:tc>
        <w:tc>
          <w:tcPr>
            <w:tcW w:w="2000" w:type="dxa"/>
            <w:vAlign w:val="bottom"/>
            <w:gridSpan w:val="2"/>
            <w:shd w:val="clear" w:color="auto" w:fill="CFF0FC"/>
          </w:tcPr>
          <w:p>
            <w:pPr>
              <w:jc w:val="right"/>
              <w:ind w:right="15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1,481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Unrealized loss</w:t>
            </w:r>
          </w:p>
        </w:tc>
        <w:tc>
          <w:tcPr>
            <w:tcW w:w="260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w:t>
            </w:r>
          </w:p>
        </w:tc>
      </w:tr>
      <w:tr>
        <w:trPr>
          <w:trHeight w:val="211"/>
        </w:trPr>
        <w:tc>
          <w:tcPr>
            <w:tcW w:w="3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4340" w:type="dxa"/>
            <w:vAlign w:val="bottom"/>
            <w:gridSpan w:val="2"/>
            <w:shd w:val="clear" w:color="auto" w:fill="CFF0FC"/>
          </w:tcPr>
          <w:p>
            <w:pPr>
              <w:jc w:val="right"/>
              <w:ind w:right="15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5,182</w:t>
            </w:r>
          </w:p>
        </w:tc>
        <w:tc>
          <w:tcPr>
            <w:tcW w:w="2000" w:type="dxa"/>
            <w:vAlign w:val="bottom"/>
            <w:gridSpan w:val="2"/>
            <w:shd w:val="clear" w:color="auto" w:fill="CFF0FC"/>
          </w:tcPr>
          <w:p>
            <w:pPr>
              <w:jc w:val="right"/>
              <w:ind w:right="15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1,478</w:t>
            </w:r>
          </w:p>
        </w:tc>
      </w:tr>
      <w:tr>
        <w:trPr>
          <w:trHeight w:val="512"/>
        </w:trPr>
        <w:tc>
          <w:tcPr>
            <w:tcW w:w="326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65"/>
              <w:spacing w:after="0"/>
              <w:rPr>
                <w:sz w:val="20"/>
                <w:szCs w:val="20"/>
                <w:color w:val="auto"/>
              </w:rPr>
            </w:pPr>
            <w:r>
              <w:rPr>
                <w:rFonts w:ascii="Times New Roman" w:cs="Times New Roman" w:eastAsia="Times New Roman" w:hAnsi="Times New Roman"/>
                <w:sz w:val="15"/>
                <w:szCs w:val="15"/>
                <w:color w:val="auto"/>
              </w:rPr>
              <w:t>13</w:t>
            </w:r>
          </w:p>
        </w:tc>
        <w:tc>
          <w:tcPr>
            <w:tcW w:w="17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632"/>
        </w:trPr>
        <w:tc>
          <w:tcPr>
            <w:tcW w:w="3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7"/>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6. Investments in Real Estate-Related and Other Securities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820" w:type="dxa"/>
            <w:vAlign w:val="bottom"/>
            <w:gridSpan w:val="12"/>
          </w:tcPr>
          <w:p>
            <w:pPr>
              <w:spacing w:after="0"/>
              <w:rPr>
                <w:sz w:val="20"/>
                <w:szCs w:val="20"/>
                <w:color w:val="auto"/>
              </w:rPr>
            </w:pPr>
            <w:r>
              <w:rPr>
                <w:rFonts w:ascii="Times New Roman" w:cs="Times New Roman" w:eastAsia="Times New Roman" w:hAnsi="Times New Roman"/>
                <w:sz w:val="15"/>
                <w:szCs w:val="15"/>
                <w:color w:val="auto"/>
                <w:w w:val="99"/>
              </w:rPr>
              <w:t>The following table details the Company’s investments in real estate-related and other securities ($ in thousands):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31, 2025</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Real Estate-Related and</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Cost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Cost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198"/>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Other Securities</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Coupon</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00" w:type="dxa"/>
            <w:vAlign w:val="bottom"/>
          </w:tcPr>
          <w:p>
            <w:pPr>
              <w:spacing w:after="0"/>
              <w:rPr>
                <w:sz w:val="17"/>
                <w:szCs w:val="17"/>
                <w:color w:val="auto"/>
              </w:rPr>
            </w:pPr>
          </w:p>
        </w:tc>
        <w:tc>
          <w:tcPr>
            <w:tcW w:w="104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Face Amount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Basis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00" w:type="dxa"/>
            <w:vAlign w:val="bottom"/>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Face Amount</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w w:val="95"/>
              </w:rPr>
              <w:t>Basis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71"/>
        </w:trPr>
        <w:tc>
          <w:tcPr>
            <w:tcW w:w="19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CMBS</w:t>
            </w:r>
          </w:p>
        </w:tc>
        <w:tc>
          <w:tcPr>
            <w:tcW w:w="1040" w:type="dxa"/>
            <w:vAlign w:val="bottom"/>
            <w:gridSpan w:val="2"/>
            <w:shd w:val="clear" w:color="auto" w:fill="CFF0FC"/>
          </w:tcPr>
          <w:p>
            <w:pPr>
              <w:jc w:val="center"/>
              <w:ind w:left="25"/>
              <w:spacing w:after="0" w:line="172" w:lineRule="exact"/>
              <w:rPr>
                <w:sz w:val="20"/>
                <w:szCs w:val="20"/>
                <w:color w:val="auto"/>
              </w:rPr>
            </w:pPr>
            <w:r>
              <w:rPr>
                <w:rFonts w:ascii="Times New Roman" w:cs="Times New Roman" w:eastAsia="Times New Roman" w:hAnsi="Times New Roman"/>
                <w:sz w:val="15"/>
                <w:szCs w:val="15"/>
                <w:color w:val="auto"/>
                <w:w w:val="95"/>
              </w:rPr>
              <w:t>6.7%</w:t>
            </w: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rPr>
              <w:t>August 28, 2039</w:t>
            </w:r>
          </w:p>
        </w:tc>
        <w:tc>
          <w:tcPr>
            <w:tcW w:w="24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15,000</w:t>
            </w:r>
          </w:p>
        </w:tc>
        <w:tc>
          <w:tcPr>
            <w:tcW w:w="32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15,107</w:t>
            </w:r>
          </w:p>
        </w:tc>
        <w:tc>
          <w:tcPr>
            <w:tcW w:w="30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15,095</w:t>
            </w:r>
          </w:p>
        </w:tc>
        <w:tc>
          <w:tcPr>
            <w:tcW w:w="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15,000</w:t>
            </w:r>
          </w:p>
        </w:tc>
        <w:tc>
          <w:tcPr>
            <w:tcW w:w="360" w:type="dxa"/>
            <w:vAlign w:val="bottom"/>
            <w:gridSpan w:val="3"/>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15,107</w:t>
            </w:r>
          </w:p>
        </w:tc>
        <w:tc>
          <w:tcPr>
            <w:tcW w:w="8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15,323</w:t>
            </w:r>
          </w:p>
        </w:tc>
        <w:tc>
          <w:tcPr>
            <w:tcW w:w="0" w:type="dxa"/>
            <w:vAlign w:val="bottom"/>
          </w:tcPr>
          <w:p>
            <w:pPr>
              <w:spacing w:after="0"/>
              <w:rPr>
                <w:sz w:val="1"/>
                <w:szCs w:val="1"/>
                <w:color w:val="auto"/>
              </w:rPr>
            </w:pPr>
          </w:p>
        </w:tc>
      </w:tr>
      <w:tr>
        <w:trPr>
          <w:trHeight w:val="268"/>
        </w:trPr>
        <w:tc>
          <w:tcPr>
            <w:tcW w:w="8520" w:type="dxa"/>
            <w:vAlign w:val="bottom"/>
            <w:gridSpan w:val="19"/>
          </w:tcPr>
          <w:p>
            <w:pPr>
              <w:spacing w:after="0"/>
              <w:rPr>
                <w:sz w:val="20"/>
                <w:szCs w:val="20"/>
                <w:color w:val="auto"/>
              </w:rPr>
            </w:pPr>
            <w:r>
              <w:rPr>
                <w:rFonts w:ascii="Times New Roman" w:cs="Times New Roman" w:eastAsia="Times New Roman" w:hAnsi="Times New Roman"/>
                <w:sz w:val="15"/>
                <w:szCs w:val="15"/>
                <w:color w:val="auto"/>
              </w:rPr>
              <w:t>The following table details the amounts recognized for the Company's investments in real estate-related and other securities ($ in thousands):</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8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5"/>
              <w:spacing w:after="0" w:line="172" w:lineRule="exact"/>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5"/>
              <w:spacing w:after="0" w:line="172"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Interest income</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251</w:t>
            </w:r>
          </w:p>
        </w:tc>
        <w:tc>
          <w:tcPr>
            <w:tcW w:w="2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552</w:t>
            </w:r>
          </w:p>
        </w:tc>
        <w:tc>
          <w:tcPr>
            <w:tcW w:w="0" w:type="dxa"/>
            <w:vAlign w:val="bottom"/>
          </w:tcPr>
          <w:p>
            <w:pPr>
              <w:spacing w:after="0"/>
              <w:rPr>
                <w:sz w:val="1"/>
                <w:szCs w:val="1"/>
                <w:color w:val="auto"/>
              </w:rPr>
            </w:pPr>
          </w:p>
        </w:tc>
      </w:tr>
      <w:tr>
        <w:trPr>
          <w:trHeight w:val="180"/>
        </w:trPr>
        <w:tc>
          <w:tcPr>
            <w:tcW w:w="1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Unrealized (loss) gain</w:t>
            </w:r>
          </w:p>
        </w:tc>
        <w:tc>
          <w:tcPr>
            <w:tcW w:w="12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(228)</w:t>
            </w: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529</w:t>
            </w:r>
          </w:p>
        </w:tc>
        <w:tc>
          <w:tcPr>
            <w:tcW w:w="0" w:type="dxa"/>
            <w:vAlign w:val="bottom"/>
          </w:tcPr>
          <w:p>
            <w:pPr>
              <w:spacing w:after="0"/>
              <w:rPr>
                <w:sz w:val="1"/>
                <w:szCs w:val="1"/>
                <w:color w:val="auto"/>
              </w:rPr>
            </w:pPr>
          </w:p>
        </w:tc>
      </w:tr>
      <w:tr>
        <w:trPr>
          <w:trHeight w:val="211"/>
        </w:trPr>
        <w:tc>
          <w:tcPr>
            <w:tcW w:w="198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6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23</w:t>
            </w: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-20955</wp:posOffset>
            </wp:positionV>
            <wp:extent cx="1993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9390" cy="698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-6350</wp:posOffset>
            </wp:positionV>
            <wp:extent cx="1993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9390" cy="698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-141605</wp:posOffset>
            </wp:positionV>
            <wp:extent cx="1993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390" cy="698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Intangibles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gross carrying amount and accumulated amortization of the Company’s intangible assets and liabilities consisted of the following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76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Intangible assets:</w:t>
            </w: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r>
      <w:tr>
        <w:trPr>
          <w:trHeight w:val="180"/>
        </w:trPr>
        <w:tc>
          <w:tcPr>
            <w:tcW w:w="7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In-place lease intangibles</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77,750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77,750</w:t>
            </w:r>
          </w:p>
        </w:tc>
      </w:tr>
      <w:tr>
        <w:trPr>
          <w:trHeight w:val="180"/>
        </w:trPr>
        <w:tc>
          <w:tcPr>
            <w:tcW w:w="7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Above-market lease intangibles</w:t>
            </w:r>
          </w:p>
        </w:tc>
        <w:tc>
          <w:tcPr>
            <w:tcW w:w="18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3,124</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3,124</w:t>
            </w:r>
          </w:p>
        </w:tc>
      </w:tr>
      <w:tr>
        <w:trPr>
          <w:trHeight w:val="171"/>
        </w:trPr>
        <w:tc>
          <w:tcPr>
            <w:tcW w:w="7660" w:type="dxa"/>
            <w:vAlign w:val="bottom"/>
          </w:tcPr>
          <w:p>
            <w:pPr>
              <w:ind w:left="140"/>
              <w:spacing w:after="0" w:line="171" w:lineRule="exact"/>
              <w:rPr>
                <w:sz w:val="20"/>
                <w:szCs w:val="20"/>
                <w:color w:val="auto"/>
              </w:rPr>
            </w:pPr>
            <w:r>
              <w:rPr>
                <w:rFonts w:ascii="Times New Roman" w:cs="Times New Roman" w:eastAsia="Times New Roman" w:hAnsi="Times New Roman"/>
                <w:sz w:val="15"/>
                <w:szCs w:val="15"/>
                <w:color w:val="auto"/>
              </w:rPr>
              <w:t>Total intangible assets</w:t>
            </w:r>
          </w:p>
        </w:tc>
        <w:tc>
          <w:tcPr>
            <w:tcW w:w="180" w:type="dxa"/>
            <w:vAlign w:val="bottom"/>
          </w:tcPr>
          <w:p>
            <w:pPr>
              <w:spacing w:after="0"/>
              <w:rPr>
                <w:sz w:val="14"/>
                <w:szCs w:val="14"/>
                <w:color w:val="auto"/>
              </w:rPr>
            </w:pPr>
          </w:p>
        </w:tc>
        <w:tc>
          <w:tcPr>
            <w:tcW w:w="156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80,874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80,874</w:t>
            </w:r>
          </w:p>
        </w:tc>
      </w:tr>
      <w:tr>
        <w:trPr>
          <w:trHeight w:val="18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r>
      <w:tr>
        <w:trPr>
          <w:trHeight w:val="180"/>
        </w:trPr>
        <w:tc>
          <w:tcPr>
            <w:tcW w:w="76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In-place lease amortization</w:t>
            </w:r>
          </w:p>
        </w:tc>
        <w:tc>
          <w:tcPr>
            <w:tcW w:w="180" w:type="dxa"/>
            <w:vAlign w:val="bottom"/>
          </w:tcPr>
          <w:p>
            <w:pPr>
              <w:spacing w:after="0"/>
              <w:rPr>
                <w:sz w:val="15"/>
                <w:szCs w:val="15"/>
                <w:color w:val="auto"/>
              </w:rPr>
            </w:pPr>
          </w:p>
        </w:tc>
        <w:tc>
          <w:tcPr>
            <w:tcW w:w="15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(26,663)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(21,448)</w:t>
            </w:r>
          </w:p>
        </w:tc>
      </w:tr>
      <w:tr>
        <w:trPr>
          <w:trHeight w:val="180"/>
        </w:trPr>
        <w:tc>
          <w:tcPr>
            <w:tcW w:w="7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Above-market lease amortization</w:t>
            </w:r>
          </w:p>
        </w:tc>
        <w:tc>
          <w:tcPr>
            <w:tcW w:w="18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(1,012)</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(878)</w:t>
            </w:r>
          </w:p>
        </w:tc>
      </w:tr>
      <w:tr>
        <w:trPr>
          <w:trHeight w:val="171"/>
        </w:trPr>
        <w:tc>
          <w:tcPr>
            <w:tcW w:w="7660" w:type="dxa"/>
            <w:vAlign w:val="bottom"/>
          </w:tcPr>
          <w:p>
            <w:pPr>
              <w:ind w:left="140"/>
              <w:spacing w:after="0" w:line="171" w:lineRule="exact"/>
              <w:rPr>
                <w:sz w:val="20"/>
                <w:szCs w:val="20"/>
                <w:color w:val="auto"/>
              </w:rPr>
            </w:pPr>
            <w:r>
              <w:rPr>
                <w:rFonts w:ascii="Times New Roman" w:cs="Times New Roman" w:eastAsia="Times New Roman" w:hAnsi="Times New Roman"/>
                <w:sz w:val="15"/>
                <w:szCs w:val="15"/>
                <w:color w:val="auto"/>
              </w:rPr>
              <w:t>Total accumulated amortization</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(27,675)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(22,326)</w:t>
            </w:r>
          </w:p>
        </w:tc>
      </w:tr>
      <w:tr>
        <w:trPr>
          <w:trHeight w:val="211"/>
        </w:trPr>
        <w:tc>
          <w:tcPr>
            <w:tcW w:w="76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53,199</w:t>
            </w:r>
          </w:p>
        </w:tc>
        <w:tc>
          <w:tcPr>
            <w:tcW w:w="300" w:type="dxa"/>
            <w:vAlign w:val="bottom"/>
            <w:gridSpan w:val="2"/>
            <w:shd w:val="clear" w:color="auto" w:fill="CFF0FC"/>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58,548</w:t>
            </w:r>
          </w:p>
        </w:tc>
      </w:tr>
      <w:tr>
        <w:trPr>
          <w:trHeight w:val="153"/>
        </w:trPr>
        <w:tc>
          <w:tcPr>
            <w:tcW w:w="7660" w:type="dxa"/>
            <w:vAlign w:val="bottom"/>
            <w:tcBorders>
              <w:top w:val="single" w:sz="8" w:color="CFF0FC"/>
            </w:tcBorders>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Intangible liabilities:</w:t>
            </w: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r>
      <w:tr>
        <w:trPr>
          <w:trHeight w:val="180"/>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Below-market lease intangibles</w:t>
            </w:r>
          </w:p>
        </w:tc>
        <w:tc>
          <w:tcPr>
            <w:tcW w:w="1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(11,522)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(11,522)</w:t>
            </w:r>
          </w:p>
        </w:tc>
      </w:tr>
      <w:tr>
        <w:trPr>
          <w:trHeight w:val="180"/>
        </w:trPr>
        <w:tc>
          <w:tcPr>
            <w:tcW w:w="7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7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Below-market lease amortization</w:t>
            </w:r>
          </w:p>
        </w:tc>
        <w:tc>
          <w:tcPr>
            <w:tcW w:w="18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3,919</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3,087</w:t>
            </w:r>
          </w:p>
        </w:tc>
      </w:tr>
      <w:tr>
        <w:trPr>
          <w:trHeight w:val="171"/>
        </w:trPr>
        <w:tc>
          <w:tcPr>
            <w:tcW w:w="76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Intangible liabilities, net</w:t>
            </w:r>
          </w:p>
        </w:tc>
        <w:tc>
          <w:tcPr>
            <w:tcW w:w="18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(7,603)</w:t>
            </w:r>
          </w:p>
        </w:tc>
        <w:tc>
          <w:tcPr>
            <w:tcW w:w="30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(8,435)</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-1325245</wp:posOffset>
            </wp:positionV>
            <wp:extent cx="11430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-861695</wp:posOffset>
            </wp:positionV>
            <wp:extent cx="1143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-619125</wp:posOffset>
            </wp:positionV>
            <wp:extent cx="1143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-605155</wp:posOffset>
            </wp:positionV>
            <wp:extent cx="1143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-141605</wp:posOffset>
            </wp:positionV>
            <wp:extent cx="1143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estimated future amortization on the Company’s intangibles for each of the next five years and thereafter as of March 31, 2026 is as follows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In-place</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Above-market</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jc w:val="right"/>
              <w:ind w:right="885"/>
              <w:spacing w:after="0"/>
              <w:rPr>
                <w:sz w:val="20"/>
                <w:szCs w:val="20"/>
                <w:color w:val="auto"/>
              </w:rPr>
            </w:pPr>
            <w:r>
              <w:rPr>
                <w:rFonts w:ascii="Times New Roman" w:cs="Times New Roman" w:eastAsia="Times New Roman" w:hAnsi="Times New Roman"/>
                <w:sz w:val="15"/>
                <w:szCs w:val="15"/>
                <w:b w:val="1"/>
                <w:bCs w:val="1"/>
                <w:color w:val="auto"/>
              </w:rPr>
              <w:t>Below-market</w:t>
            </w:r>
          </w:p>
        </w:tc>
      </w:tr>
      <w:tr>
        <w:trPr>
          <w:trHeight w:val="198"/>
        </w:trPr>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Lease Intangibles</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Lease Intangibles</w:t>
            </w: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5"/>
                <w:szCs w:val="15"/>
                <w:b w:val="1"/>
                <w:bCs w:val="1"/>
                <w:color w:val="auto"/>
              </w:rPr>
              <w:t>Lease Intangibles</w:t>
            </w:r>
          </w:p>
        </w:tc>
      </w:tr>
      <w:tr>
        <w:trPr>
          <w:trHeight w:val="171"/>
        </w:trPr>
        <w:tc>
          <w:tcPr>
            <w:tcW w:w="17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2026 (remaining)</w:t>
            </w:r>
          </w:p>
        </w:tc>
        <w:tc>
          <w:tcPr>
            <w:tcW w:w="2720" w:type="dxa"/>
            <w:vAlign w:val="bottom"/>
            <w:gridSpan w:val="2"/>
            <w:shd w:val="clear" w:color="auto" w:fill="CFF0FC"/>
          </w:tcPr>
          <w:p>
            <w:pPr>
              <w:jc w:val="right"/>
              <w:ind w:right="1825"/>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7,730</w:t>
            </w:r>
          </w:p>
        </w:tc>
        <w:tc>
          <w:tcPr>
            <w:tcW w:w="2400" w:type="dxa"/>
            <w:vAlign w:val="bottom"/>
            <w:gridSpan w:val="2"/>
            <w:shd w:val="clear" w:color="auto" w:fill="CFF0FC"/>
          </w:tcPr>
          <w:p>
            <w:pPr>
              <w:jc w:val="right"/>
              <w:ind w:right="1945"/>
              <w:spacing w:after="0" w:line="17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397</w:t>
            </w:r>
          </w:p>
        </w:tc>
        <w:tc>
          <w:tcPr>
            <w:tcW w:w="680" w:type="dxa"/>
            <w:vAlign w:val="bottom"/>
            <w:gridSpan w:val="2"/>
            <w:shd w:val="clear" w:color="auto" w:fill="CFF0FC"/>
          </w:tcPr>
          <w:p>
            <w:pPr>
              <w:jc w:val="right"/>
              <w:ind w:right="245"/>
              <w:spacing w:after="0" w:line="172" w:lineRule="exact"/>
              <w:rPr>
                <w:sz w:val="20"/>
                <w:szCs w:val="20"/>
                <w:color w:val="auto"/>
              </w:rPr>
            </w:pPr>
            <w:r>
              <w:rPr>
                <w:rFonts w:ascii="Times New Roman" w:cs="Times New Roman" w:eastAsia="Times New Roman" w:hAnsi="Times New Roman"/>
                <w:sz w:val="15"/>
                <w:szCs w:val="15"/>
                <w:color w:val="auto"/>
              </w:rPr>
              <w:t>$</w:t>
            </w:r>
          </w:p>
        </w:tc>
        <w:tc>
          <w:tcPr>
            <w:tcW w:w="22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(1,492)</w:t>
            </w:r>
          </w:p>
        </w:tc>
      </w:tr>
      <w:tr>
        <w:trPr>
          <w:trHeight w:val="180"/>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8,685</w:t>
            </w: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520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(1,595)</w:t>
            </w:r>
          </w:p>
        </w:tc>
      </w:tr>
      <w:tr>
        <w:trPr>
          <w:trHeight w:val="180"/>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2028</w:t>
            </w:r>
          </w:p>
        </w:tc>
        <w:tc>
          <w:tcPr>
            <w:tcW w:w="74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7,250</w:t>
            </w:r>
          </w:p>
        </w:tc>
        <w:tc>
          <w:tcPr>
            <w:tcW w:w="30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485</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(1,331)</w:t>
            </w:r>
          </w:p>
        </w:tc>
      </w:tr>
      <w:tr>
        <w:trPr>
          <w:trHeight w:val="180"/>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5,730</w:t>
            </w: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388</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(789)</w:t>
            </w:r>
          </w:p>
        </w:tc>
      </w:tr>
      <w:tr>
        <w:trPr>
          <w:trHeight w:val="180"/>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2030</w:t>
            </w:r>
          </w:p>
        </w:tc>
        <w:tc>
          <w:tcPr>
            <w:tcW w:w="740" w:type="dxa"/>
            <w:vAlign w:val="bottom"/>
            <w:shd w:val="clear" w:color="auto" w:fill="CFF0FC"/>
          </w:tcPr>
          <w:p>
            <w:pPr>
              <w:spacing w:after="0"/>
              <w:rPr>
                <w:sz w:val="15"/>
                <w:szCs w:val="15"/>
                <w:color w:val="auto"/>
              </w:rPr>
            </w:pPr>
          </w:p>
        </w:tc>
        <w:tc>
          <w:tcPr>
            <w:tcW w:w="19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4,706</w:t>
            </w:r>
          </w:p>
        </w:tc>
        <w:tc>
          <w:tcPr>
            <w:tcW w:w="30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244</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(671)</w:t>
            </w:r>
          </w:p>
        </w:tc>
      </w:tr>
      <w:tr>
        <w:trPr>
          <w:trHeight w:val="180"/>
        </w:trPr>
        <w:tc>
          <w:tcPr>
            <w:tcW w:w="178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74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16,986</w:t>
            </w:r>
          </w:p>
        </w:tc>
        <w:tc>
          <w:tcPr>
            <w:tcW w:w="30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78</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(1,725)</w:t>
            </w:r>
          </w:p>
        </w:tc>
      </w:tr>
      <w:tr>
        <w:trPr>
          <w:trHeight w:val="211"/>
        </w:trPr>
        <w:tc>
          <w:tcPr>
            <w:tcW w:w="178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74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ind w:right="18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51,087</w:t>
            </w:r>
          </w:p>
        </w:tc>
        <w:tc>
          <w:tcPr>
            <w:tcW w:w="300" w:type="dxa"/>
            <w:vAlign w:val="bottom"/>
            <w:tcBorders>
              <w:bottom w:val="single" w:sz="8" w:color="CFF0FC"/>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ind w:right="19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2,112</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2280" w:type="dxa"/>
            <w:vAlign w:val="bottom"/>
            <w:tcBorders>
              <w:bottom w:val="single" w:sz="8" w:color="auto"/>
            </w:tcBorders>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(7,603)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-20955</wp:posOffset>
            </wp:positionV>
            <wp:extent cx="18542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420" cy="698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-6350</wp:posOffset>
            </wp:positionV>
            <wp:extent cx="18542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5420" cy="698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-20955</wp:posOffset>
            </wp:positionV>
            <wp:extent cx="17843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435" cy="698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-6350</wp:posOffset>
            </wp:positionV>
            <wp:extent cx="17843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435" cy="6985"/>
                    </a:xfrm>
                    <a:prstGeom prst="rect">
                      <a:avLst/>
                    </a:prstGeom>
                    <a:noFill/>
                  </pic:spPr>
                </pic:pic>
              </a:graphicData>
            </a:graphic>
          </wp:anchor>
        </w:drawing>
      </w:r>
    </w:p>
    <w:p>
      <w:pPr>
        <w:spacing w:after="0" w:line="5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The in-place lease intangible amortization is recorded in depreciation and amortization while the above-market and below-market intangible amortization is recorded in rental revenue on the Company's Condensed Consolidated Statements of Operations.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53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8. Mortgage Notes, Repurchase Facility and Unsecured Revolving Credit Facility</w:t>
            </w: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9"/>
        </w:trPr>
        <w:tc>
          <w:tcPr>
            <w:tcW w:w="536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Mortgage notes</w:t>
            </w:r>
          </w:p>
        </w:tc>
        <w:tc>
          <w:tcPr>
            <w:tcW w:w="1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9"/>
        </w:trPr>
        <w:tc>
          <w:tcPr>
            <w:tcW w:w="68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The following is a summary of the mortgage notes secured by the Company’s properties ($ in thousands):</w:t>
            </w:r>
          </w:p>
        </w:tc>
        <w:tc>
          <w:tcPr>
            <w:tcW w:w="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2"/>
        </w:trPr>
        <w:tc>
          <w:tcPr>
            <w:tcW w:w="5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Principal Balance</w:t>
            </w:r>
          </w:p>
        </w:tc>
      </w:tr>
      <w:tr>
        <w:trPr>
          <w:trHeight w:val="198"/>
        </w:trPr>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625"/>
              <w:spacing w:after="0"/>
              <w:rPr>
                <w:sz w:val="20"/>
                <w:szCs w:val="20"/>
                <w:color w:val="auto"/>
              </w:rPr>
            </w:pPr>
            <w:r>
              <w:rPr>
                <w:rFonts w:ascii="Times New Roman" w:cs="Times New Roman" w:eastAsia="Times New Roman" w:hAnsi="Times New Roman"/>
                <w:sz w:val="15"/>
                <w:szCs w:val="15"/>
                <w:b w:val="1"/>
                <w:bCs w:val="1"/>
                <w:color w:val="auto"/>
              </w:rPr>
              <w:t>Outstanding</w:t>
            </w:r>
          </w:p>
        </w:tc>
      </w:tr>
      <w:tr>
        <w:trPr>
          <w:trHeight w:val="153"/>
        </w:trPr>
        <w:tc>
          <w:tcPr>
            <w:tcW w:w="5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80" w:type="dxa"/>
            <w:vAlign w:val="bottom"/>
            <w:gridSpan w:val="2"/>
          </w:tcPr>
          <w:p>
            <w:pPr>
              <w:jc w:val="right"/>
              <w:ind w:right="185"/>
              <w:spacing w:after="0" w:line="153"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8"/>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Indebtedness</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6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2026</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71"/>
        </w:trPr>
        <w:tc>
          <w:tcPr>
            <w:tcW w:w="5360" w:type="dxa"/>
            <w:vAlign w:val="bottom"/>
            <w:gridSpan w:val="3"/>
            <w:shd w:val="clear" w:color="auto" w:fill="CFF0FC"/>
          </w:tcPr>
          <w:p>
            <w:pPr>
              <w:spacing w:after="0" w:line="172" w:lineRule="exact"/>
              <w:rPr>
                <w:sz w:val="20"/>
                <w:szCs w:val="20"/>
                <w:color w:val="auto"/>
              </w:rPr>
            </w:pPr>
            <w:r>
              <w:rPr>
                <w:rFonts w:ascii="Times New Roman" w:cs="Times New Roman" w:eastAsia="Times New Roman" w:hAnsi="Times New Roman"/>
                <w:sz w:val="15"/>
                <w:szCs w:val="15"/>
                <w:i w:val="1"/>
                <w:iCs w:val="1"/>
                <w:color w:val="auto"/>
              </w:rPr>
              <w:t>Fixed rate debt secured by our properties</w:t>
            </w:r>
          </w:p>
        </w:tc>
        <w:tc>
          <w:tcPr>
            <w:tcW w:w="1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3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80"/>
        </w:trPr>
        <w:tc>
          <w:tcPr>
            <w:tcW w:w="53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Caroline West Gray</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rPr>
              <w:t>5.44%</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December 1, 2029</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45,911</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45,911</w:t>
            </w:r>
          </w:p>
        </w:tc>
      </w:tr>
      <w:tr>
        <w:trPr>
          <w:trHeight w:val="180"/>
        </w:trPr>
        <w:tc>
          <w:tcPr>
            <w:tcW w:w="53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Caroline Post Oak</w:t>
            </w:r>
          </w:p>
        </w:tc>
        <w:tc>
          <w:tcPr>
            <w:tcW w:w="1520" w:type="dxa"/>
            <w:vAlign w:val="bottom"/>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rPr>
              <w:t>5.44%</w:t>
            </w: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December 1, 2029</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40,528</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40,528</w:t>
            </w:r>
          </w:p>
        </w:tc>
      </w:tr>
      <w:tr>
        <w:trPr>
          <w:trHeight w:val="180"/>
        </w:trPr>
        <w:tc>
          <w:tcPr>
            <w:tcW w:w="53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Coda on Centre</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rPr>
              <w:t>4.28%</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1, 2029</w:t>
            </w:r>
          </w:p>
        </w:tc>
        <w:tc>
          <w:tcPr>
            <w:tcW w:w="16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27,718</w:t>
            </w:r>
          </w:p>
        </w:tc>
        <w:tc>
          <w:tcPr>
            <w:tcW w:w="1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27,860</w:t>
            </w:r>
          </w:p>
        </w:tc>
      </w:tr>
      <w:tr>
        <w:trPr>
          <w:trHeight w:val="180"/>
        </w:trPr>
        <w:tc>
          <w:tcPr>
            <w:tcW w:w="5360" w:type="dxa"/>
            <w:vAlign w:val="bottom"/>
            <w:gridSpan w:val="3"/>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The Elmstead</w:t>
            </w:r>
            <w:r>
              <w:rPr>
                <w:rFonts w:ascii="Times New Roman" w:cs="Times New Roman" w:eastAsia="Times New Roman" w:hAnsi="Times New Roman"/>
                <w:sz w:val="20"/>
                <w:szCs w:val="20"/>
                <w:color w:val="auto"/>
                <w:vertAlign w:val="superscript"/>
              </w:rPr>
              <w:t>(1)</w:t>
            </w:r>
          </w:p>
        </w:tc>
        <w:tc>
          <w:tcPr>
            <w:tcW w:w="1520" w:type="dxa"/>
            <w:vAlign w:val="bottom"/>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rPr>
              <w:t>4.30%</w:t>
            </w: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April 1, 2031</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21,245</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21,245</w:t>
            </w:r>
          </w:p>
        </w:tc>
      </w:tr>
      <w:tr>
        <w:trPr>
          <w:trHeight w:val="180"/>
        </w:trPr>
        <w:tc>
          <w:tcPr>
            <w:tcW w:w="53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Bass Lofts</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rPr>
              <w:t>3.95%</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5, 2027</w:t>
            </w:r>
          </w:p>
        </w:tc>
        <w:tc>
          <w:tcPr>
            <w:tcW w:w="16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14,806</w:t>
            </w:r>
          </w:p>
        </w:tc>
        <w:tc>
          <w:tcPr>
            <w:tcW w:w="1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14,902</w:t>
            </w:r>
          </w:p>
        </w:tc>
      </w:tr>
      <w:tr>
        <w:trPr>
          <w:trHeight w:val="180"/>
        </w:trPr>
        <w:tc>
          <w:tcPr>
            <w:tcW w:w="53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One Brooklyn</w:t>
            </w:r>
          </w:p>
        </w:tc>
        <w:tc>
          <w:tcPr>
            <w:tcW w:w="1520" w:type="dxa"/>
            <w:vAlign w:val="bottom"/>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rPr>
              <w:t>4.35%</w:t>
            </w: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July 1, 2028</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6,600</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6,600</w:t>
            </w:r>
          </w:p>
        </w:tc>
      </w:tr>
      <w:tr>
        <w:trPr>
          <w:trHeight w:val="180"/>
        </w:trPr>
        <w:tc>
          <w:tcPr>
            <w:tcW w:w="53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Charleston</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rPr>
              <w:t>5.08%</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 2030</w:t>
            </w:r>
          </w:p>
        </w:tc>
        <w:tc>
          <w:tcPr>
            <w:tcW w:w="16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59,728</w:t>
            </w:r>
          </w:p>
        </w:tc>
        <w:tc>
          <w:tcPr>
            <w:tcW w:w="1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59,728</w:t>
            </w:r>
          </w:p>
        </w:tc>
      </w:tr>
      <w:tr>
        <w:trPr>
          <w:trHeight w:val="180"/>
        </w:trPr>
        <w:tc>
          <w:tcPr>
            <w:tcW w:w="536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Baker Chocolate</w:t>
            </w:r>
          </w:p>
        </w:tc>
        <w:tc>
          <w:tcPr>
            <w:tcW w:w="1520" w:type="dxa"/>
            <w:vAlign w:val="bottom"/>
            <w:tcBorders>
              <w:bottom w:val="single" w:sz="8" w:color="CFF0FC"/>
            </w:tcBorders>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rPr>
              <w:t>3.91%</w:t>
            </w:r>
          </w:p>
        </w:tc>
        <w:tc>
          <w:tcPr>
            <w:tcW w:w="60" w:type="dxa"/>
            <w:vAlign w:val="bottom"/>
            <w:tcBorders>
              <w:bottom w:val="single" w:sz="8" w:color="CFF0FC"/>
            </w:tcBorders>
            <w:shd w:val="clear" w:color="auto" w:fill="CFF0FC"/>
          </w:tcPr>
          <w:p>
            <w:pPr>
              <w:spacing w:after="0"/>
              <w:rPr>
                <w:sz w:val="15"/>
                <w:szCs w:val="15"/>
                <w:color w:val="auto"/>
              </w:rPr>
            </w:pPr>
          </w:p>
        </w:tc>
        <w:tc>
          <w:tcPr>
            <w:tcW w:w="2300" w:type="dxa"/>
            <w:vAlign w:val="bottom"/>
            <w:tcBorders>
              <w:bottom w:val="single" w:sz="8" w:color="CFF0FC"/>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January 1, 2028</w:t>
            </w: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23,500</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23,500</w:t>
            </w:r>
          </w:p>
        </w:tc>
      </w:tr>
      <w:tr>
        <w:trPr>
          <w:trHeight w:val="171"/>
        </w:trPr>
        <w:tc>
          <w:tcPr>
            <w:tcW w:w="5360" w:type="dxa"/>
            <w:vAlign w:val="bottom"/>
            <w:gridSpan w:val="3"/>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 rate</w:t>
            </w: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240,036</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240,274</w:t>
            </w:r>
          </w:p>
        </w:tc>
      </w:tr>
      <w:tr>
        <w:trPr>
          <w:trHeight w:val="171"/>
        </w:trPr>
        <w:tc>
          <w:tcPr>
            <w:tcW w:w="5360" w:type="dxa"/>
            <w:vAlign w:val="bottom"/>
            <w:gridSpan w:val="3"/>
            <w:shd w:val="clear" w:color="auto" w:fill="CFF0FC"/>
          </w:tcPr>
          <w:p>
            <w:pPr>
              <w:spacing w:after="0" w:line="171" w:lineRule="exact"/>
              <w:rPr>
                <w:sz w:val="20"/>
                <w:szCs w:val="20"/>
                <w:color w:val="auto"/>
              </w:rPr>
            </w:pPr>
            <w:r>
              <w:rPr>
                <w:rFonts w:ascii="Times New Roman" w:cs="Times New Roman" w:eastAsia="Times New Roman" w:hAnsi="Times New Roman"/>
                <w:sz w:val="15"/>
                <w:szCs w:val="15"/>
                <w:i w:val="1"/>
                <w:iCs w:val="1"/>
                <w:color w:val="auto"/>
              </w:rPr>
              <w:t>Variable rate debt secured by our properties</w:t>
            </w:r>
          </w:p>
        </w:tc>
        <w:tc>
          <w:tcPr>
            <w:tcW w:w="1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3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80"/>
        </w:trPr>
        <w:tc>
          <w:tcPr>
            <w:tcW w:w="536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5"/>
                <w:szCs w:val="15"/>
                <w:color w:val="auto"/>
              </w:rPr>
              <w:t>6200 Bristol</w:t>
            </w:r>
            <w:r>
              <w:rPr>
                <w:rFonts w:ascii="Times New Roman" w:cs="Times New Roman" w:eastAsia="Times New Roman" w:hAnsi="Times New Roman"/>
                <w:sz w:val="20"/>
                <w:szCs w:val="20"/>
                <w:color w:val="auto"/>
                <w:vertAlign w:val="superscript"/>
              </w:rPr>
              <w:t>(2)</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SOFR + 2.05%</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April 1, 2029</w:t>
            </w:r>
          </w:p>
        </w:tc>
        <w:tc>
          <w:tcPr>
            <w:tcW w:w="16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10,000</w:t>
            </w:r>
          </w:p>
        </w:tc>
      </w:tr>
      <w:tr>
        <w:trPr>
          <w:trHeight w:val="180"/>
        </w:trPr>
        <w:tc>
          <w:tcPr>
            <w:tcW w:w="5360" w:type="dxa"/>
            <w:vAlign w:val="bottom"/>
            <w:gridSpan w:val="3"/>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Norfolk Industrial Portfolio</w:t>
            </w:r>
            <w:r>
              <w:rPr>
                <w:rFonts w:ascii="Times New Roman" w:cs="Times New Roman" w:eastAsia="Times New Roman" w:hAnsi="Times New Roman"/>
                <w:sz w:val="20"/>
                <w:szCs w:val="20"/>
                <w:color w:val="auto"/>
                <w:vertAlign w:val="superscript"/>
              </w:rPr>
              <w:t>(3)</w:t>
            </w:r>
          </w:p>
        </w:tc>
        <w:tc>
          <w:tcPr>
            <w:tcW w:w="1520" w:type="dxa"/>
            <w:vAlign w:val="bottom"/>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w w:val="99"/>
              </w:rPr>
              <w:t>SOFR + 1.75%</w:t>
            </w: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June 19, 2030</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43,700</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43,700</w:t>
            </w:r>
          </w:p>
        </w:tc>
      </w:tr>
      <w:tr>
        <w:trPr>
          <w:trHeight w:val="180"/>
        </w:trPr>
        <w:tc>
          <w:tcPr>
            <w:tcW w:w="536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5"/>
                <w:szCs w:val="15"/>
                <w:color w:val="auto"/>
              </w:rPr>
              <w:t>Preserve at Pine Valley</w:t>
            </w:r>
            <w:r>
              <w:rPr>
                <w:rFonts w:ascii="Times New Roman" w:cs="Times New Roman" w:eastAsia="Times New Roman" w:hAnsi="Times New Roman"/>
                <w:sz w:val="20"/>
                <w:szCs w:val="20"/>
                <w:color w:val="auto"/>
                <w:vertAlign w:val="superscript"/>
              </w:rPr>
              <w:t>(4)</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SOFR + 1.50%</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10, 2030</w:t>
            </w:r>
          </w:p>
        </w:tc>
        <w:tc>
          <w:tcPr>
            <w:tcW w:w="16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21,200</w:t>
            </w:r>
          </w:p>
        </w:tc>
        <w:tc>
          <w:tcPr>
            <w:tcW w:w="180" w:type="dxa"/>
            <w:vAlign w:val="bottom"/>
          </w:tcPr>
          <w:p>
            <w:pPr>
              <w:spacing w:after="0"/>
              <w:rPr>
                <w:sz w:val="15"/>
                <w:szCs w:val="15"/>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21,200</w:t>
            </w:r>
          </w:p>
        </w:tc>
      </w:tr>
      <w:tr>
        <w:trPr>
          <w:trHeight w:val="180"/>
        </w:trPr>
        <w:tc>
          <w:tcPr>
            <w:tcW w:w="5360" w:type="dxa"/>
            <w:vAlign w:val="bottom"/>
            <w:gridSpan w:val="3"/>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Vineyard Commons</w:t>
            </w:r>
            <w:r>
              <w:rPr>
                <w:rFonts w:ascii="Times New Roman" w:cs="Times New Roman" w:eastAsia="Times New Roman" w:hAnsi="Times New Roman"/>
                <w:sz w:val="20"/>
                <w:szCs w:val="20"/>
                <w:color w:val="auto"/>
                <w:vertAlign w:val="superscript"/>
              </w:rPr>
              <w:t>(5)</w:t>
            </w:r>
          </w:p>
        </w:tc>
        <w:tc>
          <w:tcPr>
            <w:tcW w:w="1520" w:type="dxa"/>
            <w:vAlign w:val="bottom"/>
            <w:shd w:val="clear" w:color="auto" w:fill="CFF0FC"/>
          </w:tcPr>
          <w:p>
            <w:pPr>
              <w:jc w:val="center"/>
              <w:ind w:right="165"/>
              <w:spacing w:after="0"/>
              <w:rPr>
                <w:sz w:val="20"/>
                <w:szCs w:val="20"/>
                <w:color w:val="auto"/>
              </w:rPr>
            </w:pPr>
            <w:r>
              <w:rPr>
                <w:rFonts w:ascii="Times New Roman" w:cs="Times New Roman" w:eastAsia="Times New Roman" w:hAnsi="Times New Roman"/>
                <w:sz w:val="15"/>
                <w:szCs w:val="15"/>
                <w:color w:val="auto"/>
                <w:w w:val="99"/>
              </w:rPr>
              <w:t>SOFR + 1.40%</w:t>
            </w: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January 1, 2030</w:t>
            </w: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45,175</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45,175</w:t>
            </w:r>
          </w:p>
        </w:tc>
      </w:tr>
      <w:tr>
        <w:trPr>
          <w:trHeight w:val="180"/>
        </w:trPr>
        <w:tc>
          <w:tcPr>
            <w:tcW w:w="536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5"/>
                <w:szCs w:val="15"/>
                <w:color w:val="auto"/>
              </w:rPr>
              <w:t>Stablewood</w:t>
            </w:r>
            <w:r>
              <w:rPr>
                <w:rFonts w:ascii="Times New Roman" w:cs="Times New Roman" w:eastAsia="Times New Roman" w:hAnsi="Times New Roman"/>
                <w:sz w:val="20"/>
                <w:szCs w:val="20"/>
                <w:color w:val="auto"/>
                <w:vertAlign w:val="superscript"/>
              </w:rPr>
              <w:t>(6)</w:t>
            </w:r>
          </w:p>
        </w:tc>
        <w:tc>
          <w:tcPr>
            <w:tcW w:w="1520" w:type="dxa"/>
            <w:vAlign w:val="bottom"/>
          </w:tcPr>
          <w:p>
            <w:pPr>
              <w:jc w:val="center"/>
              <w:ind w:right="165"/>
              <w:spacing w:after="0"/>
              <w:rPr>
                <w:sz w:val="20"/>
                <w:szCs w:val="20"/>
                <w:color w:val="auto"/>
              </w:rPr>
            </w:pPr>
            <w:r>
              <w:rPr>
                <w:rFonts w:ascii="Times New Roman" w:cs="Times New Roman" w:eastAsia="Times New Roman" w:hAnsi="Times New Roman"/>
                <w:sz w:val="15"/>
                <w:szCs w:val="15"/>
                <w:color w:val="auto"/>
                <w:w w:val="99"/>
              </w:rPr>
              <w:t>SOFR + 3.75%</w:t>
            </w:r>
          </w:p>
        </w:tc>
        <w:tc>
          <w:tcPr>
            <w:tcW w:w="6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8, 2028</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9,493</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5,292</w:t>
            </w:r>
          </w:p>
        </w:tc>
      </w:tr>
      <w:tr>
        <w:trPr>
          <w:trHeight w:val="171"/>
        </w:trPr>
        <w:tc>
          <w:tcPr>
            <w:tcW w:w="5360" w:type="dxa"/>
            <w:vAlign w:val="bottom"/>
            <w:tcBorders>
              <w:bottom w:val="single" w:sz="8" w:color="CFF0FC"/>
            </w:tcBorders>
            <w:gridSpan w:val="3"/>
            <w:shd w:val="clear" w:color="auto" w:fill="CFF0FC"/>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variable rate</w:t>
            </w:r>
          </w:p>
        </w:tc>
        <w:tc>
          <w:tcPr>
            <w:tcW w:w="15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30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right w:val="single" w:sz="8" w:color="CFF0FC"/>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129,568</w:t>
            </w: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125,367</w:t>
            </w:r>
          </w:p>
        </w:tc>
      </w:tr>
      <w:tr>
        <w:trPr>
          <w:trHeight w:val="171"/>
        </w:trPr>
        <w:tc>
          <w:tcPr>
            <w:tcW w:w="5360" w:type="dxa"/>
            <w:vAlign w:val="bottom"/>
            <w:gridSpan w:val="3"/>
          </w:tcPr>
          <w:p>
            <w:pPr>
              <w:spacing w:after="0" w:line="171" w:lineRule="exact"/>
              <w:rPr>
                <w:sz w:val="20"/>
                <w:szCs w:val="20"/>
                <w:color w:val="auto"/>
              </w:rPr>
            </w:pPr>
            <w:r>
              <w:rPr>
                <w:rFonts w:ascii="Times New Roman" w:cs="Times New Roman" w:eastAsia="Times New Roman" w:hAnsi="Times New Roman"/>
                <w:sz w:val="15"/>
                <w:szCs w:val="15"/>
                <w:color w:val="auto"/>
              </w:rPr>
              <w:t>Total loans secured by real estate</w:t>
            </w: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369,604</w:t>
            </w:r>
          </w:p>
        </w:tc>
        <w:tc>
          <w:tcPr>
            <w:tcW w:w="180" w:type="dxa"/>
            <w:vAlign w:val="bottom"/>
          </w:tcPr>
          <w:p>
            <w:pPr>
              <w:spacing w:after="0"/>
              <w:rPr>
                <w:sz w:val="14"/>
                <w:szCs w:val="14"/>
                <w:color w:val="auto"/>
              </w:rPr>
            </w:pPr>
          </w:p>
        </w:tc>
        <w:tc>
          <w:tcPr>
            <w:tcW w:w="8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365,641</w:t>
            </w:r>
          </w:p>
        </w:tc>
      </w:tr>
      <w:tr>
        <w:trPr>
          <w:trHeight w:val="180"/>
        </w:trPr>
        <w:tc>
          <w:tcPr>
            <w:tcW w:w="5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financing costs, net</w:t>
            </w:r>
          </w:p>
        </w:tc>
        <w:tc>
          <w:tcPr>
            <w:tcW w:w="1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3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(4,047)</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(4,327)</w:t>
            </w:r>
          </w:p>
        </w:tc>
      </w:tr>
      <w:tr>
        <w:trPr>
          <w:trHeight w:val="180"/>
        </w:trPr>
        <w:tc>
          <w:tcPr>
            <w:tcW w:w="53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Mortgage discount, net</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(1,716)</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(1,869)</w:t>
            </w:r>
          </w:p>
        </w:tc>
      </w:tr>
      <w:tr>
        <w:trPr>
          <w:trHeight w:val="191"/>
        </w:trPr>
        <w:tc>
          <w:tcPr>
            <w:tcW w:w="5360" w:type="dxa"/>
            <w:vAlign w:val="bottom"/>
            <w:gridSpan w:val="3"/>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debt secured by our properties</w:t>
            </w:r>
          </w:p>
        </w:tc>
        <w:tc>
          <w:tcPr>
            <w:tcW w:w="15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30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right w:val="single" w:sz="8" w:color="CFF0FC"/>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363,841</w:t>
            </w:r>
          </w:p>
        </w:tc>
        <w:tc>
          <w:tcPr>
            <w:tcW w:w="1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359,445</w:t>
            </w: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6456045</wp:posOffset>
            </wp:positionH>
            <wp:positionV relativeFrom="paragraph">
              <wp:posOffset>-1424940</wp:posOffset>
            </wp:positionV>
            <wp:extent cx="285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-490855</wp:posOffset>
            </wp:positionV>
            <wp:extent cx="285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-20955</wp:posOffset>
            </wp:positionV>
            <wp:extent cx="285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-6350</wp:posOffset>
            </wp:positionV>
            <wp:extent cx="285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p>
      <w:pPr>
        <w:spacing w:after="0" w:line="61" w:lineRule="exact"/>
        <w:rPr>
          <w:sz w:val="20"/>
          <w:szCs w:val="20"/>
          <w:color w:val="auto"/>
        </w:rPr>
      </w:pPr>
    </w:p>
    <w:p>
      <w:pPr>
        <w:ind w:left="160" w:hanging="150"/>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loan is comprised of a senior and a mezzanine loan. The interest rate and maturity date presented are the weighted average.</w:t>
      </w:r>
    </w:p>
    <w:p>
      <w:pPr>
        <w:spacing w:after="0" w:line="13"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entered into an interest rate swap that was not designated as a hedge, which fixed the rate at 6.26%.</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entered into an interest rate swap that was not designated as a hedge, which fixed the rate at 5.41%.</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entered into an interest rate swap that was not designated as a hedge, which fixed the rate at 4.90%.</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entered into an interest rate swap that was not designated as a hedge, which fixed the rate at 4.88%.</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 line of credit secured by real estate with a maximum facility size of $50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the future principal payments due under the Company’s mortgage notes as of March 31, 2026 ($ in thousands):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2026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155180" cy="121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5180"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2027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155180"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2029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155180" cy="114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Thereafter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future principal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7155180" cy="135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5"/>
                <w:szCs w:val="15"/>
                <w:b w:val="1"/>
                <w:bCs w:val="1"/>
                <w:color w:val="auto"/>
              </w:rPr>
              <w:t>Mortgage Notes</w:t>
            </w:r>
          </w:p>
        </w:tc>
      </w:tr>
      <w:tr>
        <w:trPr>
          <w:trHeight w:val="157"/>
        </w:trPr>
        <w:tc>
          <w:tcPr>
            <w:tcW w:w="360" w:type="dxa"/>
            <w:vAlign w:val="bottom"/>
          </w:tcPr>
          <w:p>
            <w:pPr>
              <w:jc w:val="right"/>
              <w:ind w:right="20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204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938</w:t>
            </w:r>
          </w:p>
        </w:tc>
      </w:tr>
      <w:tr>
        <w:trPr>
          <w:trHeight w:val="180"/>
        </w:trPr>
        <w:tc>
          <w:tcPr>
            <w:tcW w:w="360" w:type="dxa"/>
            <w:vAlign w:val="bottom"/>
          </w:tcPr>
          <w:p>
            <w:pPr>
              <w:spacing w:after="0"/>
              <w:rPr>
                <w:sz w:val="15"/>
                <w:szCs w:val="15"/>
                <w:color w:val="auto"/>
              </w:rPr>
            </w:pPr>
          </w:p>
        </w:tc>
        <w:tc>
          <w:tcPr>
            <w:tcW w:w="20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15,458</w:t>
            </w:r>
          </w:p>
        </w:tc>
      </w:tr>
      <w:tr>
        <w:trPr>
          <w:trHeight w:val="180"/>
        </w:trPr>
        <w:tc>
          <w:tcPr>
            <w:tcW w:w="360" w:type="dxa"/>
            <w:vAlign w:val="bottom"/>
          </w:tcPr>
          <w:p>
            <w:pPr>
              <w:spacing w:after="0"/>
              <w:rPr>
                <w:sz w:val="15"/>
                <w:szCs w:val="15"/>
                <w:color w:val="auto"/>
              </w:rPr>
            </w:pPr>
          </w:p>
        </w:tc>
        <w:tc>
          <w:tcPr>
            <w:tcW w:w="20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41,780</w:t>
            </w:r>
          </w:p>
        </w:tc>
      </w:tr>
      <w:tr>
        <w:trPr>
          <w:trHeight w:val="180"/>
        </w:trPr>
        <w:tc>
          <w:tcPr>
            <w:tcW w:w="360" w:type="dxa"/>
            <w:vAlign w:val="bottom"/>
          </w:tcPr>
          <w:p>
            <w:pPr>
              <w:spacing w:after="0"/>
              <w:rPr>
                <w:sz w:val="15"/>
                <w:szCs w:val="15"/>
                <w:color w:val="auto"/>
              </w:rPr>
            </w:pPr>
          </w:p>
        </w:tc>
        <w:tc>
          <w:tcPr>
            <w:tcW w:w="20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125,273</w:t>
            </w:r>
          </w:p>
        </w:tc>
      </w:tr>
      <w:tr>
        <w:trPr>
          <w:trHeight w:val="180"/>
        </w:trPr>
        <w:tc>
          <w:tcPr>
            <w:tcW w:w="360" w:type="dxa"/>
            <w:vAlign w:val="bottom"/>
          </w:tcPr>
          <w:p>
            <w:pPr>
              <w:spacing w:after="0"/>
              <w:rPr>
                <w:sz w:val="15"/>
                <w:szCs w:val="15"/>
                <w:color w:val="auto"/>
              </w:rPr>
            </w:pPr>
          </w:p>
        </w:tc>
        <w:tc>
          <w:tcPr>
            <w:tcW w:w="20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166,662</w:t>
            </w:r>
          </w:p>
        </w:tc>
      </w:tr>
      <w:tr>
        <w:trPr>
          <w:trHeight w:val="194"/>
        </w:trPr>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19,493</w:t>
            </w:r>
          </w:p>
        </w:tc>
      </w:tr>
      <w:tr>
        <w:trPr>
          <w:trHeight w:val="171"/>
        </w:trPr>
        <w:tc>
          <w:tcPr>
            <w:tcW w:w="360" w:type="dxa"/>
            <w:vAlign w:val="bottom"/>
            <w:tcBorders>
              <w:bottom w:val="single" w:sz="8" w:color="auto"/>
            </w:tcBorders>
          </w:tcPr>
          <w:p>
            <w:pPr>
              <w:jc w:val="right"/>
              <w:ind w:right="20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2040" w:type="dxa"/>
            <w:vAlign w:val="bottom"/>
            <w:tcBorders>
              <w:bottom w:val="single" w:sz="8" w:color="auto"/>
            </w:tcBorders>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369,604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8300" w:space="580"/>
            <w:col w:w="2400"/>
          </w:cols>
          <w:pgMar w:left="300" w:top="110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i w:val="1"/>
          <w:iCs w:val="1"/>
          <w:color w:val="auto"/>
        </w:rPr>
        <w:t>Repurchase Facility</w:t>
      </w:r>
    </w:p>
    <w:p>
      <w:pPr>
        <w:spacing w:after="0" w:line="9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On August 22, 2024, the Company entered into a Master Repurchase Agreement (the “Repurchase Facility”). The Repurchase Facility initially provided for a maximum aggregate purchase price of $150 million and has a three-year term plus two, one-year extension options. Subject to the terms and conditions thereof, the Repurchase Facility provides for the purchase, sale and repurchase of senior mortgage loans and participation interests in performing senior mortgage loans satisfying certain conditions set forth in the Repurchase Facility. On November 14, 2025, the Repurchase Facility was amended to increase maximum aggregate purchase price from $150 million to $250 million.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type w:val="continuous"/>
        </w:sectPr>
      </w:pPr>
    </w:p>
    <w:bookmarkStart w:id="17" w:name="page18"/>
    <w:bookmarkEnd w:id="17"/>
    <w:p>
      <w:pPr>
        <w:ind w:right="20"/>
        <w:spacing w:after="0" w:line="264" w:lineRule="auto"/>
        <w:rPr>
          <w:sz w:val="20"/>
          <w:szCs w:val="20"/>
          <w:color w:val="auto"/>
        </w:rPr>
      </w:pPr>
      <w:r>
        <w:rPr>
          <w:rFonts w:ascii="Times New Roman" w:cs="Times New Roman" w:eastAsia="Times New Roman" w:hAnsi="Times New Roman"/>
          <w:sz w:val="15"/>
          <w:szCs w:val="15"/>
          <w:color w:val="auto"/>
        </w:rPr>
        <w:t>Advances under the Repurchase Facility accrue interest at a per annum rate equal to the Term SOFR Base Rate (as defined in the Repurchase Facility) for a one-month period plus a margin as agreed upon for each transaction. The Repurchase Facility contains affirmative and negative covenants and provisions regarding events of default. The Operating Partnership has agreed to provide a limited guarantee of the obligations of the Company under the Repurchase Facility.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Borrowings from the Repurchase Facility were used to originate the commercial mortgage loans (see Note 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borrowings from the Repurchase Facility as of March 31, 2026 and December 31, 2025 are detailed in the following table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restart"/>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12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40" w:type="dxa"/>
            <w:vAlign w:val="bottom"/>
          </w:tcPr>
          <w:p>
            <w:pPr>
              <w:spacing w:after="0"/>
              <w:rPr>
                <w:sz w:val="17"/>
                <w:szCs w:val="17"/>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65"/>
              <w:spacing w:after="0"/>
              <w:rPr>
                <w:sz w:val="20"/>
                <w:szCs w:val="20"/>
                <w:color w:val="auto"/>
              </w:rPr>
            </w:pPr>
            <w:r>
              <w:rPr>
                <w:rFonts w:ascii="Times New Roman" w:cs="Times New Roman" w:eastAsia="Times New Roman" w:hAnsi="Times New Roman"/>
                <w:sz w:val="15"/>
                <w:szCs w:val="15"/>
                <w:b w:val="1"/>
                <w:bCs w:val="1"/>
                <w:color w:val="auto"/>
              </w:rPr>
              <w:t>Borrowings Outstanding</w:t>
            </w: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225"/>
              <w:spacing w:after="0" w:line="153"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w w:val="97"/>
              </w:rPr>
              <w:t>Facility Size</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w w:val="98"/>
              </w:rPr>
              <w:t>March 31, 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71"/>
        </w:trPr>
        <w:tc>
          <w:tcPr>
            <w:tcW w:w="35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Repurchase Facility</w:t>
            </w:r>
          </w:p>
        </w:tc>
        <w:tc>
          <w:tcPr>
            <w:tcW w:w="100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250,000</w:t>
            </w: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9"/>
              </w:rPr>
              <w:t>SOFR + 1.52%</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ind w:left="240"/>
              <w:spacing w:after="0" w:line="172" w:lineRule="exact"/>
              <w:rPr>
                <w:sz w:val="20"/>
                <w:szCs w:val="20"/>
                <w:color w:val="auto"/>
              </w:rPr>
            </w:pPr>
            <w:r>
              <w:rPr>
                <w:rFonts w:ascii="Times New Roman" w:cs="Times New Roman" w:eastAsia="Times New Roman" w:hAnsi="Times New Roman"/>
                <w:sz w:val="15"/>
                <w:szCs w:val="15"/>
                <w:color w:val="auto"/>
              </w:rPr>
              <w:t>August 22, 2027</w:t>
            </w:r>
          </w:p>
        </w:tc>
        <w:tc>
          <w:tcPr>
            <w:tcW w:w="8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228,450</w:t>
            </w:r>
          </w:p>
        </w:tc>
        <w:tc>
          <w:tcPr>
            <w:tcW w:w="22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168,450</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Less: Unamortized deferred financing costs</w:t>
            </w: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(587)</w:t>
            </w:r>
          </w:p>
        </w:tc>
        <w:tc>
          <w:tcPr>
            <w:tcW w:w="0" w:type="dxa"/>
            <w:vAlign w:val="bottom"/>
          </w:tcPr>
          <w:p>
            <w:pPr>
              <w:spacing w:after="0"/>
              <w:rPr>
                <w:sz w:val="1"/>
                <w:szCs w:val="1"/>
                <w:color w:val="auto"/>
              </w:rPr>
            </w:pPr>
          </w:p>
        </w:tc>
      </w:tr>
      <w:tr>
        <w:trPr>
          <w:trHeight w:val="211"/>
        </w:trPr>
        <w:tc>
          <w:tcPr>
            <w:tcW w:w="35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250,000</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227,808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167,863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-20955</wp:posOffset>
            </wp:positionV>
            <wp:extent cx="857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-6350</wp:posOffset>
            </wp:positionV>
            <wp:extent cx="857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-20955</wp:posOffset>
            </wp:positionV>
            <wp:extent cx="857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-6350</wp:posOffset>
            </wp:positionV>
            <wp:extent cx="857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55" w:lineRule="exact"/>
        <w:rPr>
          <w:sz w:val="20"/>
          <w:szCs w:val="20"/>
          <w:color w:val="auto"/>
        </w:rPr>
      </w:pPr>
    </w:p>
    <w:p>
      <w:pPr>
        <w:jc w:val="both"/>
        <w:ind w:right="120"/>
        <w:spacing w:after="0" w:line="315" w:lineRule="auto"/>
        <w:rPr>
          <w:sz w:val="20"/>
          <w:szCs w:val="20"/>
          <w:color w:val="auto"/>
        </w:rPr>
      </w:pPr>
      <w:r>
        <w:rPr>
          <w:rFonts w:ascii="Times New Roman" w:cs="Times New Roman" w:eastAsia="Times New Roman" w:hAnsi="Times New Roman"/>
          <w:sz w:val="14"/>
          <w:szCs w:val="14"/>
          <w:color w:val="auto"/>
        </w:rPr>
        <w:t>The Company is subject to various financial and operational covenants under certain of its mortgage notes and the Repurchase Facility. These covenants require the Company to maintain certain financial ratios, which may include leverage, debt yield, and debt service coverage, among others. As of March 31, 2026, the Company was in compliance with its loan covenants.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Unsecured revolving credit facility</w:t>
      </w:r>
    </w:p>
    <w:p>
      <w:pPr>
        <w:spacing w:after="0" w:line="9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On July 15, 2025, the Operating Partnership, as a borrower and certain subsidiaries of the Operating Partnership party thereto from time to time, as designated borrowers, entered into a credit agreement (the “Credit Agreement”) with Truist Bank (“Truist”), as the administrative agent and a letter of credit issuer, and each lender party thereto from time to time (the “Lenders”). The Credit Agreement provides for unsecured revolving credit commitments in an aggregate amount of up to $325.0 million for revolving loans and letter of credit issuances, with an accordion feature pursuant to which the borrowers may request to increase the revolving commitments and create new term loan tranches in an additional aggregate amount of up to $675.0 million, subject to the satisfaction of certain conditions (the “Credit Facility”). The proceeds of the Credit Facility will be used for general business purposes, including, debt refinancing, property acquisitions, new construction, renovations, capital expenditures, expansions, tenant improvements, leasing commissions, refinancing of existing lines, financing acquisition of permitted investments, dividends, redemptions, closing costs and equity investments primarily associated with commercial real estate property acquisitions or refinancings. The Credit Facility is guaranteed by the Company and certain subsidiaries of the Operating Partnership.</w:t>
      </w:r>
    </w:p>
    <w:p>
      <w:pPr>
        <w:spacing w:after="0" w:line="72"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4"/>
          <w:szCs w:val="14"/>
          <w:color w:val="auto"/>
        </w:rPr>
        <w:t>At the Operating Partnership’s election, revolving loans advanced under the Credit Agreement shall bear interest at a rate per annum equal to (a) a forward-looking term rate based on the secured overnight financing rate for the applicable interest period (“Term SOFR”), as selected by the Operating Partnership, plus an applicable margin ranging between 1.30% and 1.80% per annum (“Term SOFR Margin”), or (b) the highest of (i) the federal funds rate plus 0.50%, (ii) Truist’s prime rate, (iii) Term SOFR for a one month tenor in effect on such day plus</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1.00%, and (iv) 1.00% (“Base Rate”), plus an applicable margin ranging between 0.30% and 0.80% per annum (“Base Rate Margin”). Letters of credit issued under the Credit Facility will accrue a letter of credit fee equal to the applicable Term SOFR Margin times the daily amount available to be drawn under such letter of credit.</w:t>
      </w:r>
    </w:p>
    <w:p>
      <w:pPr>
        <w:spacing w:after="0" w:line="6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Revolving loans and letters of credit under the Credit Facility will mature on July 15, 2028, subject to any earlier termination in accordance with the terms of the Credit Agreement and to certain extension options detailed therein.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color w:val="auto"/>
        </w:rPr>
        <w:t>The Company’s borrowings from the Credit Facility as of March 31, 2026 and December 31, 2025 are detailed in the following table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restart"/>
          </w:tcPr>
          <w:p>
            <w:pPr>
              <w:jc w:val="center"/>
              <w:ind w:right="265"/>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18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Borrowings Outstanding</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Facility Size</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16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71"/>
        </w:trPr>
        <w:tc>
          <w:tcPr>
            <w:tcW w:w="36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Credit Facility</w:t>
            </w:r>
          </w:p>
        </w:tc>
        <w:tc>
          <w:tcPr>
            <w:tcW w:w="14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325,000</w:t>
            </w:r>
          </w:p>
        </w:tc>
        <w:tc>
          <w:tcPr>
            <w:tcW w:w="180" w:type="dxa"/>
            <w:vAlign w:val="bottom"/>
            <w:shd w:val="clear" w:color="auto" w:fill="CFF0FC"/>
          </w:tcPr>
          <w:p>
            <w:pPr>
              <w:spacing w:after="0"/>
              <w:rPr>
                <w:sz w:val="14"/>
                <w:szCs w:val="14"/>
                <w:color w:val="auto"/>
              </w:rPr>
            </w:pPr>
          </w:p>
        </w:tc>
        <w:tc>
          <w:tcPr>
            <w:tcW w:w="130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9"/>
              </w:rPr>
              <w:t>SOFR + 1.30%</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rPr>
              <w:t>July 15, 2028</w:t>
            </w:r>
          </w:p>
        </w:tc>
        <w:tc>
          <w:tcPr>
            <w:tcW w:w="280" w:type="dxa"/>
            <w:vAlign w:val="bottom"/>
            <w:gridSpan w:val="2"/>
            <w:shd w:val="clear" w:color="auto" w:fill="CFF0FC"/>
          </w:tcPr>
          <w:p>
            <w:pPr>
              <w:jc w:val="right"/>
              <w:ind w:right="4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73,000</w:t>
            </w:r>
          </w:p>
        </w:tc>
        <w:tc>
          <w:tcPr>
            <w:tcW w:w="940" w:type="dxa"/>
            <w:vAlign w:val="bottom"/>
            <w:gridSpan w:val="2"/>
            <w:shd w:val="clear" w:color="auto" w:fill="CFF0FC"/>
          </w:tcPr>
          <w:p>
            <w:pPr>
              <w:jc w:val="right"/>
              <w:ind w:right="625"/>
              <w:spacing w:after="0" w:line="17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73,000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Pursuant to the Credit Agreement, the Company has made certain representations and warranties and must comply with various covenants and reporting requirements. The Credit Agreement contains events of default for financings of this type. Upon the occurrence of certain events of default, Truist, as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 to make letter of credit extensions, demand that existing letters of credit be cash collateralized, and declare the outstanding loans and other obligations under the Credit Facility immediately due and payable. As of March 31, 2026, the Company was in compliance with its loan covenants.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9. Related Party Transactions</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69"/>
        </w:trPr>
        <w:tc>
          <w:tcPr>
            <w:tcW w:w="7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Due to Affiliates</w:t>
            </w: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69"/>
        </w:trPr>
        <w:tc>
          <w:tcPr>
            <w:tcW w:w="76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details the components of due to affiliates ($ in thousands):</w:t>
            </w: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7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76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Operating expenses</w:t>
            </w:r>
          </w:p>
        </w:tc>
        <w:tc>
          <w:tcPr>
            <w:tcW w:w="200" w:type="dxa"/>
            <w:vAlign w:val="bottom"/>
            <w:shd w:val="clear" w:color="auto" w:fill="CFF0FC"/>
          </w:tcPr>
          <w:p>
            <w:pPr>
              <w:jc w:val="right"/>
              <w:ind w:right="4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14,873</w:t>
            </w:r>
          </w:p>
        </w:tc>
        <w:tc>
          <w:tcPr>
            <w:tcW w:w="300" w:type="dxa"/>
            <w:vAlign w:val="bottom"/>
            <w:gridSpan w:val="2"/>
            <w:shd w:val="clear" w:color="auto" w:fill="CFF0FC"/>
          </w:tcPr>
          <w:p>
            <w:pPr>
              <w:jc w:val="right"/>
              <w:ind w:right="6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14,254</w:t>
            </w:r>
          </w:p>
        </w:tc>
      </w:tr>
      <w:tr>
        <w:trPr>
          <w:trHeight w:val="180"/>
        </w:trPr>
        <w:tc>
          <w:tcPr>
            <w:tcW w:w="7620" w:type="dxa"/>
            <w:vAlign w:val="bottom"/>
          </w:tcPr>
          <w:p>
            <w:pPr>
              <w:spacing w:after="0"/>
              <w:rPr>
                <w:sz w:val="20"/>
                <w:szCs w:val="20"/>
                <w:color w:val="auto"/>
              </w:rPr>
            </w:pPr>
            <w:r>
              <w:rPr>
                <w:rFonts w:ascii="Times New Roman" w:cs="Times New Roman" w:eastAsia="Times New Roman" w:hAnsi="Times New Roman"/>
                <w:sz w:val="15"/>
                <w:szCs w:val="15"/>
                <w:color w:val="auto"/>
              </w:rPr>
              <w:t>Organization and offering costs</w:t>
            </w:r>
          </w:p>
        </w:tc>
        <w:tc>
          <w:tcPr>
            <w:tcW w:w="200" w:type="dxa"/>
            <w:vAlign w:val="bottom"/>
          </w:tcPr>
          <w:p>
            <w:pPr>
              <w:spacing w:after="0"/>
              <w:rPr>
                <w:sz w:val="15"/>
                <w:szCs w:val="15"/>
                <w:color w:val="auto"/>
              </w:rPr>
            </w:pPr>
          </w:p>
        </w:tc>
        <w:tc>
          <w:tcPr>
            <w:tcW w:w="15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4,990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5,366</w:t>
            </w:r>
          </w:p>
        </w:tc>
      </w:tr>
      <w:tr>
        <w:trPr>
          <w:trHeight w:val="18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Stockholder servicing fees</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7,135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6,301</w:t>
            </w:r>
          </w:p>
        </w:tc>
      </w:tr>
      <w:tr>
        <w:trPr>
          <w:trHeight w:val="180"/>
        </w:trPr>
        <w:tc>
          <w:tcPr>
            <w:tcW w:w="7620" w:type="dxa"/>
            <w:vAlign w:val="bottom"/>
          </w:tcPr>
          <w:p>
            <w:pPr>
              <w:spacing w:after="0"/>
              <w:rPr>
                <w:sz w:val="20"/>
                <w:szCs w:val="20"/>
                <w:color w:val="auto"/>
              </w:rPr>
            </w:pPr>
            <w:r>
              <w:rPr>
                <w:rFonts w:ascii="Times New Roman" w:cs="Times New Roman" w:eastAsia="Times New Roman" w:hAnsi="Times New Roman"/>
                <w:sz w:val="15"/>
                <w:szCs w:val="15"/>
                <w:color w:val="auto"/>
              </w:rPr>
              <w:t>Management fee</w:t>
            </w:r>
          </w:p>
        </w:tc>
        <w:tc>
          <w:tcPr>
            <w:tcW w:w="200" w:type="dxa"/>
            <w:vAlign w:val="bottom"/>
          </w:tcPr>
          <w:p>
            <w:pPr>
              <w:spacing w:after="0"/>
              <w:rPr>
                <w:sz w:val="15"/>
                <w:szCs w:val="15"/>
                <w:color w:val="auto"/>
              </w:rPr>
            </w:pPr>
          </w:p>
        </w:tc>
        <w:tc>
          <w:tcPr>
            <w:tcW w:w="15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2,282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1,683</w:t>
            </w:r>
          </w:p>
        </w:tc>
      </w:tr>
      <w:tr>
        <w:trPr>
          <w:trHeight w:val="18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performance participation allocation</w:t>
            </w:r>
          </w:p>
        </w:tc>
        <w:tc>
          <w:tcPr>
            <w:tcW w:w="20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1,780</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1,365</w:t>
            </w:r>
          </w:p>
        </w:tc>
      </w:tr>
      <w:tr>
        <w:trPr>
          <w:trHeight w:val="171"/>
        </w:trPr>
        <w:tc>
          <w:tcPr>
            <w:tcW w:w="76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31,060</w:t>
            </w:r>
          </w:p>
        </w:tc>
        <w:tc>
          <w:tcPr>
            <w:tcW w:w="30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28,969</w:t>
            </w:r>
          </w:p>
        </w:tc>
      </w:tr>
      <w:tr>
        <w:trPr>
          <w:trHeight w:val="20"/>
        </w:trPr>
        <w:tc>
          <w:tcPr>
            <w:tcW w:w="7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-141605</wp:posOffset>
            </wp:positionV>
            <wp:extent cx="11430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9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The Adviser has advanced $14.9 million and $14.3 million of operating expenses on the Company’s behalf as of March 31, 2026 and December 31, 2025, respectively. Pursuant to the Advisory Agreement, the Company will reimburse the Adviser for all advanced operating expenses ratably over the 60 months starting the earlier of (i) the first date that the Company’s NAV reaches $1 billion and (ii) December 31, 2026.</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Organization and offering costs</w:t>
      </w:r>
    </w:p>
    <w:p>
      <w:pPr>
        <w:spacing w:after="0" w:line="9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Pursuant to the Advisory Agreement, the Adviser advanced amounts totaling $7.5 million of organization and offering costs (including legal, accounting, and other expenses attributable to the Company’s organization, but excluding upfront selling commissions, dealer manager fees and stockholder servicing fees) on behalf of the Company through July 22, 2024. Commencing on July 22, 2024, the Company began reimbursing the Adviser for all such advanced costs ratably over a 60-month period. During the three months ended March 31, 2026, the Company reimbursed $0.4 million to the Adviser.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outstanding organization and offering expenses due to the Adviser were $5.0 million and $5.4 million as of March 31, 2026 and December 31, 2025, respectively.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i w:val="1"/>
          <w:iCs w:val="1"/>
          <w:color w:val="auto"/>
        </w:rPr>
        <w:t>Stockholder servicing fees</w:t>
      </w:r>
    </w:p>
    <w:p>
      <w:pPr>
        <w:spacing w:after="0" w:line="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5"/>
          <w:szCs w:val="15"/>
          <w:color w:val="auto"/>
        </w:rPr>
        <w:t>J.P. Morgan Institutional Investments Inc., a registered broker-dealer affiliated with the Adviser (the “Dealer Manager”), receives a stockholder servicing fee of 0.25%, 0.85%, 0.85% and 0.85% per annum of the aggregate NAV of the Company’s outstanding Class D shares, Class S shares, Class T shares and Class Y shares, respectively. The Company will cease paying the stockholder servicing fee with respect to any Class D share, Class S share, Class T share, and Class Y share sold in the primary offering (in the case of the Class D shares, Class S shares and Class T shares) and in the primary portion of the Class Y private offering (in the case of the Class Y shares) at the end of the month in which the total selling commissions, dealer manager fees and stockholder servicing fees paid with respect to such share would exceed 8.75% (or, in the case of Class T shares sold through certain participating broker-dealers, a lower limit as set forth in any applicable agreement between the Dealer Manager and a participating broker-dealer) of the gross proceeds from the sale of such share (including the gross proceeds of any shares issued under the distribution reinvestment plan with respect thereto). At the end of such month, such Class D share, Class S share, Class T share or Class Y share (and any shares issued under the distribution reinvestment plan with respect thereto) will convert into a number of Class I shares (including any fractional shares) with an equivalent aggregate NAV of such share. The Company will accrue the cost of the lifetime stockholder servicing fee as an offering cost at the time each Class D, Class S and Class T share is sold during the primary offering, and, in the case of Class Y shares, at the time each Class Y share is sold during the private offering of Class Y shares. The Company’s obligations to pay stockholder servicing fees with respect to the Class D, Class S, Class T, and Class Y shares distributed in the Offerings will survive until such shares are no longer outstanding (including because such shares converted into Class I shares). As of March 31, 2026, the Company had accrued stockholder servicing fees of $7.1 million. Stockholder servicing fees are recorded as a component of due to affiliates on the Company’s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is no stockholder servicing fee with respect to Class E, Class I or Class X shares.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Management fee</w:t>
      </w:r>
    </w:p>
    <w:p>
      <w:pPr>
        <w:spacing w:after="0" w:line="9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5"/>
          <w:szCs w:val="15"/>
          <w:color w:val="auto"/>
        </w:rPr>
        <w:t>The Company and the Operating Partnership entered into an advisory agreement with the Adviser on May 31, 2022, which was last amended on March 11, 2026 (the “Advisory Agreement”). Pursuant to the Advisory Agreement, the Adviser is responsible for sourcing, evaluating and monitoring the Company’s investment opportunities and making decisions related to the acquisition, management, financing and disposition of the Company’s assets, in accordance with the Company’s investment objectives, guidelines, policies and limitations, subject to oversight by the Company’s board of directors.</w:t>
      </w:r>
    </w:p>
    <w:p>
      <w:pPr>
        <w:spacing w:after="0" w:line="6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5"/>
          <w:szCs w:val="15"/>
          <w:color w:val="auto"/>
        </w:rPr>
        <w:t>The Adviser and certain of its Affiliates receive fees and compensation in connection with the ongoing management of the assets of the Company. The Adviser is paid a management fee equal to 1.00% of NAV per annum for Class D, Class I, Class S and Class T shares and 0.75% of NAV per annum for Class X and Class Y shares, payable monthly. The management fee is paid, at the Adviser’s election, in cash, Class E shares, or Class E units. The Class E shares are not subject to the management fee. The Adviser waived its management fee through December 31, 2022. For the three months ended March 31, 2026 and 2025, the Company incurred management fees of $0.6 million and $0.4 million, respectively. Management fees are recorded as a component of general and administrative expenses on the Company's Condensed Consolidated Statements of Operations. As of March 31, 2026, the Company had accrued management fees of $2.3 million. Management fees are recorded as a component of due to affiliates on the Company’s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Accrued performance participation allocation</w:t>
      </w:r>
    </w:p>
    <w:p>
      <w:pPr>
        <w:spacing w:after="0" w:line="9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The Company, as general partner, and the Special Limited Partner entered into the Limited Partnership Agreement of the Operating Partnership on June 3, 2022, which was amended and restated on September 20, 2022, November 13, 2023 and April 17, 2026.</w:t>
      </w:r>
    </w:p>
    <w:p>
      <w:pPr>
        <w:spacing w:after="0" w:line="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The Special Limited Partner holds a performance participation interest in the Operating Partnership that entitles it to receive an allocation from the Operating Partnership equal to (i) 12.5% of the annual Total Return, subject to a 5% annual Hurdle Amount and a High-Water Mark, with a Catch-Up (each term as defined in the Operating Partnership limited partnership agreement) with respect to Class D, I, S, and T units of the Operating Partnership and (ii) 10.0% of the annual Class X and Y Total Return, subject to a 7% Class X and Y Hurdle Amount and a Class X and Y High-Water Mark, with a 50% Class X and Y Catch-Up (each term as defined in the Operating Partnership’s limited partnership agreement) with respect to Class X units of the Operating Partnership and Class Y units of the Operating Partnership, respectively. Such allocation is measured on a calendar year basis, settled quarterly and accrued monthly. The performance participation interest is not paid on the Class E shares and Class E units. For the three months ended March 31, 2026, the Company incurred $0.4 million of performance participation allocation. For the three months ended March 31, 2025, the Company did not incur any performance participation allocation. The performance participation allocation is recorded as a component of general and administrative expenses on the Company's Condensed Consolidated Statements of Operations. As of March 31, 2026, the Company had accrued performance participation allocation of $1.8 million. The performance participation allocation is recorded as a component of due to affiliates on the Company’s Condensed Consolidated Balance Sheets.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00" w:top="1111" w:right="339" w:bottom="1440" w:gutter="0" w:footer="0" w:header="0"/>
        </w:sectPr>
      </w:pPr>
    </w:p>
    <w:bookmarkStart w:id="20" w:name="page21"/>
    <w:bookmarkEnd w:id="20"/>
    <w:p>
      <w:pPr>
        <w:ind w:right="40"/>
        <w:spacing w:after="0" w:line="291" w:lineRule="auto"/>
        <w:rPr>
          <w:sz w:val="20"/>
          <w:szCs w:val="20"/>
          <w:color w:val="auto"/>
        </w:rPr>
      </w:pPr>
      <w:r>
        <w:rPr>
          <w:rFonts w:ascii="Times New Roman" w:cs="Times New Roman" w:eastAsia="Times New Roman" w:hAnsi="Times New Roman"/>
          <w:sz w:val="14"/>
          <w:szCs w:val="14"/>
          <w:color w:val="auto"/>
        </w:rPr>
        <w:t>The Company may retain certain of the Adviser’s affiliates for necessary services relating to the Company’s investments or its operations, including any administrative services, construction, special servicing, leasing, development, property oversight and other property management services, as well as services related to mortgage servicing, group purchasing, healthcare, consulting/brokerage, capital markets/credit origination, loan servicing, property, title or other types of insurance, management consulting and other similar operational matters.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JPMIM Investment</w:t>
      </w:r>
    </w:p>
    <w:p>
      <w:pPr>
        <w:spacing w:after="0" w:line="10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5"/>
          <w:szCs w:val="15"/>
          <w:color w:val="auto"/>
        </w:rPr>
        <w:t>Pursuant to a subscription agreement dated February 23, 2022, JPMIM agreed to purchase an aggregate of $100 million in Class E shares or Class E units, provided that, if the Company receives capital commitments from investors in the private placement of Class E shares exceeding $100 million (“Other Seed Investor Commitments”), JPMIM’s commitment may, in JPMIM’s discretion, be reduced by an amount equal to (i) the aggregate amount of Other Seed Investor Commitments, minus (ii) $100 million, provided that such reduction amount will not exceed $75 million.</w:t>
      </w:r>
    </w:p>
    <w:p>
      <w:pPr>
        <w:spacing w:after="0" w:line="64"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On May 26, 2022, JPMIM’s Subscription Agreement dated February 23, 2022 for Class E shares or Class E units was amended to provide that the expiration of the JPMIM commitment was August 23, 2023; provided, that following such date JPMIM may, in its discretion, elect to purchase additional Class E shares or Class E units until July 22, 2025.</w:t>
      </w:r>
    </w:p>
    <w:p>
      <w:pPr>
        <w:spacing w:after="0" w:line="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On July 14, 2025, the Company entered into a Second Amendment to the Subscription Agreement (the “Amendment”) by and among the Company, the Operating Partnership and the Adviser to amend the repurchase terms for shares of the Company and units of the Operating Partnership purchased by the Adviser. Pursuant to the Amendment, following the end of each month after the earlier of (i) the first date that the Company’s net asset value reaches $1.5 billion and (ii) July 22, 2025, the Company and/or the Operating Partnership will automatically, and without any further action by the Company, the Adviser or any affiliate thereof, repurchase or redeem, as applicable, from the Adviser a number of securities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See Note 13 for further details.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10. Other Assets and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9"/>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summarizes the components of other assets ($ in thousands):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75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Lease inducement asset</w:t>
            </w:r>
          </w:p>
        </w:tc>
        <w:tc>
          <w:tcPr>
            <w:tcW w:w="280" w:type="dxa"/>
            <w:vAlign w:val="bottom"/>
            <w:gridSpan w:val="2"/>
            <w:shd w:val="clear" w:color="auto" w:fill="CFF0FC"/>
          </w:tcPr>
          <w:p>
            <w:pPr>
              <w:jc w:val="right"/>
              <w:ind w:right="47"/>
              <w:spacing w:after="0" w:line="172"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10,686</w:t>
            </w:r>
          </w:p>
        </w:tc>
        <w:tc>
          <w:tcPr>
            <w:tcW w:w="300" w:type="dxa"/>
            <w:vAlign w:val="bottom"/>
            <w:gridSpan w:val="2"/>
            <w:shd w:val="clear" w:color="auto" w:fill="CFF0FC"/>
          </w:tcPr>
          <w:p>
            <w:pPr>
              <w:jc w:val="right"/>
              <w:ind w:right="4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10,874</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Straight-line rent receivable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4,457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3,275</w:t>
            </w:r>
          </w:p>
        </w:tc>
      </w:tr>
      <w:tr>
        <w:trPr>
          <w:trHeight w:val="18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Deferred financing costs, net</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2,316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2,565</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Tenant receivables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1,779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2,400</w:t>
            </w:r>
          </w:p>
        </w:tc>
      </w:tr>
      <w:tr>
        <w:trPr>
          <w:trHeight w:val="18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2,440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1,244</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Interest receivable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1,578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1,226</w:t>
            </w:r>
          </w:p>
        </w:tc>
      </w:tr>
      <w:tr>
        <w:trPr>
          <w:trHeight w:val="18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Pre-acquisition costs</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320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352</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853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374</w:t>
            </w:r>
          </w:p>
        </w:tc>
      </w:tr>
      <w:tr>
        <w:trPr>
          <w:trHeight w:val="211"/>
        </w:trPr>
        <w:tc>
          <w:tcPr>
            <w:tcW w:w="75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280" w:type="dxa"/>
            <w:vAlign w:val="bottom"/>
            <w:gridSpan w:val="2"/>
            <w:shd w:val="clear" w:color="auto" w:fill="CFF0FC"/>
          </w:tcPr>
          <w:p>
            <w:pPr>
              <w:jc w:val="right"/>
              <w:ind w:right="47"/>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24,429</w:t>
            </w:r>
          </w:p>
        </w:tc>
        <w:tc>
          <w:tcPr>
            <w:tcW w:w="300" w:type="dxa"/>
            <w:vAlign w:val="bottom"/>
            <w:gridSpan w:val="2"/>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22,310</w:t>
            </w:r>
          </w:p>
        </w:tc>
      </w:tr>
      <w:tr>
        <w:trPr>
          <w:trHeight w:val="242"/>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color w:val="auto"/>
              </w:rPr>
              <w:t>The following table summarizes the components of accounts payable, accrued expenses and other liabilities ($ in thousands):</w:t>
            </w:r>
          </w:p>
        </w:tc>
        <w:tc>
          <w:tcPr>
            <w:tcW w:w="10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0"/>
        </w:trPr>
        <w:tc>
          <w:tcPr>
            <w:tcW w:w="7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75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Redemptions payable</w:t>
            </w:r>
            <w:r>
              <w:rPr>
                <w:rFonts w:ascii="Times New Roman" w:cs="Times New Roman" w:eastAsia="Times New Roman" w:hAnsi="Times New Roman"/>
                <w:sz w:val="19"/>
                <w:szCs w:val="19"/>
                <w:color w:val="auto"/>
                <w:vertAlign w:val="superscript"/>
              </w:rPr>
              <w:t>(1)</w:t>
            </w:r>
          </w:p>
        </w:tc>
        <w:tc>
          <w:tcPr>
            <w:tcW w:w="280" w:type="dxa"/>
            <w:vAlign w:val="bottom"/>
            <w:gridSpan w:val="2"/>
            <w:shd w:val="clear" w:color="auto" w:fill="CFF0FC"/>
          </w:tcPr>
          <w:p>
            <w:pPr>
              <w:jc w:val="right"/>
              <w:ind w:right="67"/>
              <w:spacing w:after="0" w:line="172"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11,351</w:t>
            </w:r>
          </w:p>
        </w:tc>
        <w:tc>
          <w:tcPr>
            <w:tcW w:w="300" w:type="dxa"/>
            <w:vAlign w:val="bottom"/>
            <w:gridSpan w:val="2"/>
            <w:shd w:val="clear" w:color="auto" w:fill="CFF0FC"/>
          </w:tcPr>
          <w:p>
            <w:pPr>
              <w:jc w:val="right"/>
              <w:ind w:right="6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6,955</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5,925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5,947</w:t>
            </w:r>
          </w:p>
        </w:tc>
      </w:tr>
      <w:tr>
        <w:trPr>
          <w:trHeight w:val="180"/>
        </w:trPr>
        <w:tc>
          <w:tcPr>
            <w:tcW w:w="7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Distributions payable</w:t>
            </w:r>
            <w:r>
              <w:rPr>
                <w:rFonts w:ascii="Times New Roman" w:cs="Times New Roman" w:eastAsia="Times New Roman" w:hAnsi="Times New Roman"/>
                <w:sz w:val="20"/>
                <w:szCs w:val="20"/>
                <w:color w:val="auto"/>
                <w:vertAlign w:val="superscript"/>
              </w:rPr>
              <w:t>(2)</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2,672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3,433</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Deferred rental income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3,527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3,180</w:t>
            </w:r>
          </w:p>
        </w:tc>
      </w:tr>
      <w:tr>
        <w:trPr>
          <w:trHeight w:val="18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Tenant security deposits</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2,851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2,786</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2,908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2,194</w:t>
            </w:r>
          </w:p>
        </w:tc>
      </w:tr>
      <w:tr>
        <w:trPr>
          <w:trHeight w:val="18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Real estate taxes payable</w:t>
            </w:r>
          </w:p>
        </w:tc>
        <w:tc>
          <w:tcPr>
            <w:tcW w:w="1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2,240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1,582</w:t>
            </w:r>
          </w:p>
        </w:tc>
      </w:tr>
      <w:tr>
        <w:trPr>
          <w:trHeight w:val="180"/>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431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779</w:t>
            </w:r>
          </w:p>
        </w:tc>
      </w:tr>
      <w:tr>
        <w:trPr>
          <w:trHeight w:val="191"/>
        </w:trPr>
        <w:tc>
          <w:tcPr>
            <w:tcW w:w="75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31,905</w:t>
            </w:r>
          </w:p>
        </w:tc>
        <w:tc>
          <w:tcPr>
            <w:tcW w:w="300" w:type="dxa"/>
            <w:vAlign w:val="bottom"/>
            <w:gridSpan w:val="2"/>
            <w:shd w:val="clear" w:color="auto" w:fill="CFF0FC"/>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26,856</w:t>
            </w: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-1424940</wp:posOffset>
            </wp:positionV>
            <wp:extent cx="1143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-1410335</wp:posOffset>
            </wp:positionV>
            <wp:extent cx="1143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-20955</wp:posOffset>
            </wp:positionV>
            <wp:extent cx="1143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-6350</wp:posOffset>
            </wp:positionV>
            <wp:extent cx="1143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ind w:left="160" w:hanging="150"/>
        <w:spacing w:after="0" w:line="208"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$10.3 million and $6.1 million relating to Mandatorily Redeemable Instruments held by the Adviser as of March 31, 2026 and December 31, 2025, respectively.</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$0.1 million and $0.2 million as of March 31, 2026 and December 31, 2025, respectively, relating to distributions declared on Class E units held by the Adviser.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color w:val="auto"/>
        </w:rPr>
        <w:t>11. Leases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Lessor</w:t>
      </w:r>
    </w:p>
    <w:p>
      <w:pPr>
        <w:spacing w:after="0" w:line="9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The Company’s rental revenue primarily consists of rent earned from operating leases at the Company’s multifamily, single-family rental, retail and net lease industrial properties. Leases at the Company’s retail and industrial properties include a fixed base rent, and a variable rent component that consists of the reimbursement of operating expenses such as real estate taxes, insurance, and common area maintenance costs. Rental revenue earned from leases at the Company’s multifamily and single-family properties primarily consist of a fixed base rent, and certain leases contain a variable component that allows for the pass-through of certain operating expenses such as utilities.</w:t>
      </w:r>
    </w:p>
    <w:p>
      <w:pPr>
        <w:spacing w:after="0" w:line="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The leases at the Company’s net lease retail and industrial properties are longer-term and contain extension and termination options at the lessee’s election. The leases do not have material variable payments, material residual value guarantees or material restrictive covenants. Leases at the Company’s multifamily and single-family rental properties are short-term in nature, generally not greater than 12 months in length.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details the components of operating lease income ($ in thousands):</w:t>
            </w:r>
          </w:p>
        </w:tc>
        <w:tc>
          <w:tcPr>
            <w:tcW w:w="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69"/>
        </w:trPr>
        <w:tc>
          <w:tcPr>
            <w:tcW w:w="5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160" w:type="dxa"/>
            <w:vAlign w:val="bottom"/>
            <w:tcBorders>
              <w:bottom w:val="single" w:sz="8" w:color="auto"/>
            </w:tcBorders>
            <w:gridSpan w:val="4"/>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780" w:type="dxa"/>
            <w:vAlign w:val="bottom"/>
            <w:tcBorders>
              <w:bottom w:val="single" w:sz="8" w:color="auto"/>
            </w:tcBorders>
          </w:tcPr>
          <w:p>
            <w:pPr>
              <w:spacing w:after="0"/>
              <w:rPr>
                <w:sz w:val="23"/>
                <w:szCs w:val="23"/>
                <w:color w:val="auto"/>
              </w:rPr>
            </w:pPr>
          </w:p>
        </w:tc>
      </w:tr>
      <w:tr>
        <w:trPr>
          <w:trHeight w:val="172"/>
        </w:trPr>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2026</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780" w:type="dxa"/>
            <w:vAlign w:val="bottom"/>
            <w:tcBorders>
              <w:bottom w:val="single" w:sz="8" w:color="auto"/>
            </w:tcBorders>
          </w:tcPr>
          <w:p>
            <w:pPr>
              <w:spacing w:after="0"/>
              <w:rPr>
                <w:sz w:val="14"/>
                <w:szCs w:val="14"/>
                <w:color w:val="auto"/>
              </w:rPr>
            </w:pPr>
          </w:p>
        </w:tc>
      </w:tr>
      <w:tr>
        <w:trPr>
          <w:trHeight w:val="171"/>
        </w:trPr>
        <w:tc>
          <w:tcPr>
            <w:tcW w:w="57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Fixed lease payments</w:t>
            </w:r>
          </w:p>
        </w:tc>
        <w:tc>
          <w:tcPr>
            <w:tcW w:w="2080" w:type="dxa"/>
            <w:vAlign w:val="bottom"/>
            <w:gridSpan w:val="2"/>
            <w:shd w:val="clear" w:color="auto" w:fill="CFF0FC"/>
          </w:tcPr>
          <w:p>
            <w:pPr>
              <w:jc w:val="right"/>
              <w:ind w:right="136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25,005</w:t>
            </w:r>
          </w:p>
        </w:tc>
        <w:tc>
          <w:tcPr>
            <w:tcW w:w="1800" w:type="dxa"/>
            <w:vAlign w:val="bottom"/>
            <w:gridSpan w:val="2"/>
            <w:shd w:val="clear" w:color="auto" w:fill="CFF0FC"/>
          </w:tcPr>
          <w:p>
            <w:pPr>
              <w:jc w:val="right"/>
              <w:ind w:right="1405"/>
              <w:spacing w:after="0" w:line="171"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7,055</w:t>
            </w:r>
          </w:p>
        </w:tc>
      </w:tr>
      <w:tr>
        <w:trPr>
          <w:trHeight w:val="180"/>
        </w:trPr>
        <w:tc>
          <w:tcPr>
            <w:tcW w:w="5780" w:type="dxa"/>
            <w:vAlign w:val="bottom"/>
          </w:tcPr>
          <w:p>
            <w:pPr>
              <w:spacing w:after="0"/>
              <w:rPr>
                <w:sz w:val="20"/>
                <w:szCs w:val="20"/>
                <w:color w:val="auto"/>
              </w:rPr>
            </w:pPr>
            <w:r>
              <w:rPr>
                <w:rFonts w:ascii="Times New Roman" w:cs="Times New Roman" w:eastAsia="Times New Roman" w:hAnsi="Times New Roman"/>
                <w:sz w:val="15"/>
                <w:szCs w:val="15"/>
                <w:color w:val="auto"/>
              </w:rPr>
              <w:t>Variable lease payments</w:t>
            </w:r>
          </w:p>
        </w:tc>
        <w:tc>
          <w:tcPr>
            <w:tcW w:w="56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4,667</w:t>
            </w:r>
          </w:p>
        </w:tc>
        <w:tc>
          <w:tcPr>
            <w:tcW w:w="2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1,215</w:t>
            </w:r>
          </w:p>
        </w:tc>
      </w:tr>
      <w:tr>
        <w:trPr>
          <w:trHeight w:val="191"/>
        </w:trPr>
        <w:tc>
          <w:tcPr>
            <w:tcW w:w="57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Rental revenue</w:t>
            </w:r>
          </w:p>
        </w:tc>
        <w:tc>
          <w:tcPr>
            <w:tcW w:w="2080" w:type="dxa"/>
            <w:vAlign w:val="bottom"/>
            <w:gridSpan w:val="2"/>
            <w:shd w:val="clear" w:color="auto" w:fill="CFF0FC"/>
          </w:tcPr>
          <w:p>
            <w:pPr>
              <w:jc w:val="right"/>
              <w:ind w:right="1365"/>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29,672</w:t>
            </w:r>
          </w:p>
        </w:tc>
        <w:tc>
          <w:tcPr>
            <w:tcW w:w="1800" w:type="dxa"/>
            <w:vAlign w:val="bottom"/>
            <w:gridSpan w:val="2"/>
            <w:shd w:val="clear" w:color="auto" w:fill="CFF0FC"/>
          </w:tcPr>
          <w:p>
            <w:pPr>
              <w:jc w:val="right"/>
              <w:ind w:right="1405"/>
              <w:spacing w:after="0" w:line="171"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8,270</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-20955</wp:posOffset>
            </wp:positionV>
            <wp:extent cx="1498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9860" cy="6985"/>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-6350</wp:posOffset>
            </wp:positionV>
            <wp:extent cx="1498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9860" cy="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the future minimum rents the Company expects to receive from its retail and industrial properties as of March 31, 2026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1165"/>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1"/>
        </w:trPr>
        <w:tc>
          <w:tcPr>
            <w:tcW w:w="82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2026 (remaining)</w:t>
            </w:r>
          </w:p>
        </w:tc>
        <w:tc>
          <w:tcPr>
            <w:tcW w:w="820" w:type="dxa"/>
            <w:vAlign w:val="bottom"/>
            <w:gridSpan w:val="2"/>
            <w:shd w:val="clear" w:color="auto" w:fill="CFF0FC"/>
          </w:tcPr>
          <w:p>
            <w:pPr>
              <w:jc w:val="right"/>
              <w:ind w:right="500"/>
              <w:spacing w:after="0" w:line="172" w:lineRule="exact"/>
              <w:rPr>
                <w:sz w:val="20"/>
                <w:szCs w:val="20"/>
                <w:color w:val="auto"/>
              </w:rPr>
            </w:pPr>
            <w:r>
              <w:rPr>
                <w:rFonts w:ascii="Times New Roman" w:cs="Times New Roman" w:eastAsia="Times New Roman" w:hAnsi="Times New Roman"/>
                <w:sz w:val="15"/>
                <w:szCs w:val="15"/>
                <w:color w:val="auto"/>
              </w:rPr>
              <w:t>$</w:t>
            </w:r>
          </w:p>
        </w:tc>
        <w:tc>
          <w:tcPr>
            <w:tcW w:w="226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25,410</w:t>
            </w:r>
          </w:p>
        </w:tc>
      </w:tr>
      <w:tr>
        <w:trPr>
          <w:trHeight w:val="180"/>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33,917</w:t>
            </w:r>
          </w:p>
        </w:tc>
      </w:tr>
      <w:tr>
        <w:trPr>
          <w:trHeight w:val="180"/>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32,762</w:t>
            </w:r>
          </w:p>
        </w:tc>
      </w:tr>
      <w:tr>
        <w:trPr>
          <w:trHeight w:val="180"/>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29,668</w:t>
            </w:r>
          </w:p>
        </w:tc>
      </w:tr>
      <w:tr>
        <w:trPr>
          <w:trHeight w:val="180"/>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2030</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25,910</w:t>
            </w:r>
          </w:p>
        </w:tc>
      </w:tr>
      <w:tr>
        <w:trPr>
          <w:trHeight w:val="180"/>
        </w:trPr>
        <w:tc>
          <w:tcPr>
            <w:tcW w:w="820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135,331</w:t>
            </w:r>
          </w:p>
        </w:tc>
      </w:tr>
      <w:tr>
        <w:trPr>
          <w:trHeight w:val="191"/>
        </w:trPr>
        <w:tc>
          <w:tcPr>
            <w:tcW w:w="82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820" w:type="dxa"/>
            <w:vAlign w:val="bottom"/>
            <w:gridSpan w:val="2"/>
            <w:shd w:val="clear" w:color="auto" w:fill="CFF0FC"/>
          </w:tcPr>
          <w:p>
            <w:pPr>
              <w:jc w:val="right"/>
              <w:ind w:right="5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6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282,998</w:t>
            </w:r>
          </w:p>
        </w:tc>
      </w:tr>
      <w:tr>
        <w:trPr>
          <w:trHeight w:val="20"/>
        </w:trPr>
        <w:tc>
          <w:tcPr>
            <w:tcW w:w="8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60" w:type="dxa"/>
            <w:vAlign w:val="bottom"/>
            <w:tcBorders>
              <w:top w:val="single" w:sz="8" w:color="auto"/>
            </w:tcBorders>
            <w:shd w:val="clear" w:color="auto" w:fill="000000"/>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Equity and Redeemable Non-Controlling Interest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Authorized capital</w:t>
      </w:r>
    </w:p>
    <w:p>
      <w:pPr>
        <w:spacing w:after="0" w:line="9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5"/>
          <w:szCs w:val="15"/>
          <w:color w:val="auto"/>
        </w:rPr>
        <w:t>The Company is authorized to issue preferred stock and seven classes of common stock consisting of Class D shares, Class I shares, Class S shares, Class T shares, Class E shares, Class X shares and Class Y shares. The differences among the common share classes relate to upfront selling commissions, dealer manager fees and ongoing stockholder servicing fees. See Note 2 for additional detail on each share class.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2026, in accordance with the Charter, the Company had authority to issue 5.5 billion shares, consisting of the following (shares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4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Par Value</w:t>
            </w:r>
          </w:p>
        </w:tc>
      </w:tr>
      <w:tr>
        <w:trPr>
          <w:trHeight w:val="171"/>
        </w:trPr>
        <w:tc>
          <w:tcPr>
            <w:tcW w:w="326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Class D Shares</w:t>
            </w:r>
          </w:p>
        </w:tc>
        <w:tc>
          <w:tcPr>
            <w:tcW w:w="6140" w:type="dxa"/>
            <w:vAlign w:val="bottom"/>
            <w:gridSpan w:val="3"/>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600,000</w:t>
            </w:r>
          </w:p>
        </w:tc>
        <w:tc>
          <w:tcPr>
            <w:tcW w:w="440" w:type="dxa"/>
            <w:vAlign w:val="bottom"/>
            <w:gridSpan w:val="2"/>
            <w:shd w:val="clear" w:color="auto" w:fill="CFF0FC"/>
          </w:tcPr>
          <w:p>
            <w:pPr>
              <w:jc w:val="right"/>
              <w:ind w:right="20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Class I Shares</w:t>
            </w:r>
          </w:p>
        </w:tc>
        <w:tc>
          <w:tcPr>
            <w:tcW w:w="6140" w:type="dxa"/>
            <w:vAlign w:val="bottom"/>
            <w:gridSpan w:val="3"/>
          </w:tcPr>
          <w:p>
            <w:pPr>
              <w:jc w:val="right"/>
              <w:ind w:right="85"/>
              <w:spacing w:after="0"/>
              <w:rPr>
                <w:sz w:val="20"/>
                <w:szCs w:val="20"/>
                <w:color w:val="auto"/>
              </w:rPr>
            </w:pPr>
            <w:r>
              <w:rPr>
                <w:rFonts w:ascii="Times New Roman" w:cs="Times New Roman" w:eastAsia="Times New Roman" w:hAnsi="Times New Roman"/>
                <w:sz w:val="15"/>
                <w:szCs w:val="15"/>
                <w:color w:val="auto"/>
              </w:rPr>
              <w:t>1,500,000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Class S Shares</w:t>
            </w:r>
          </w:p>
        </w:tc>
        <w:tc>
          <w:tcPr>
            <w:tcW w:w="614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1,000,000</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Class T Shares</w:t>
            </w:r>
          </w:p>
        </w:tc>
        <w:tc>
          <w:tcPr>
            <w:tcW w:w="6140" w:type="dxa"/>
            <w:vAlign w:val="bottom"/>
            <w:gridSpan w:val="3"/>
          </w:tcPr>
          <w:p>
            <w:pPr>
              <w:jc w:val="right"/>
              <w:ind w:right="85"/>
              <w:spacing w:after="0"/>
              <w:rPr>
                <w:sz w:val="20"/>
                <w:szCs w:val="20"/>
                <w:color w:val="auto"/>
              </w:rPr>
            </w:pPr>
            <w:r>
              <w:rPr>
                <w:rFonts w:ascii="Times New Roman" w:cs="Times New Roman" w:eastAsia="Times New Roman" w:hAnsi="Times New Roman"/>
                <w:sz w:val="15"/>
                <w:szCs w:val="15"/>
                <w:color w:val="auto"/>
              </w:rPr>
              <w:t>600,000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Class E Shares</w:t>
            </w:r>
          </w:p>
        </w:tc>
        <w:tc>
          <w:tcPr>
            <w:tcW w:w="614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600,000</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Class X Shares</w:t>
            </w:r>
          </w:p>
        </w:tc>
        <w:tc>
          <w:tcPr>
            <w:tcW w:w="6140" w:type="dxa"/>
            <w:vAlign w:val="bottom"/>
            <w:gridSpan w:val="3"/>
          </w:tcPr>
          <w:p>
            <w:pPr>
              <w:jc w:val="right"/>
              <w:ind w:right="85"/>
              <w:spacing w:after="0"/>
              <w:rPr>
                <w:sz w:val="20"/>
                <w:szCs w:val="20"/>
                <w:color w:val="auto"/>
              </w:rPr>
            </w:pPr>
            <w:r>
              <w:rPr>
                <w:rFonts w:ascii="Times New Roman" w:cs="Times New Roman" w:eastAsia="Times New Roman" w:hAnsi="Times New Roman"/>
                <w:sz w:val="15"/>
                <w:szCs w:val="15"/>
                <w:color w:val="auto"/>
              </w:rPr>
              <w:t>500,000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Class Y Shares</w:t>
            </w:r>
          </w:p>
        </w:tc>
        <w:tc>
          <w:tcPr>
            <w:tcW w:w="6140" w:type="dxa"/>
            <w:vAlign w:val="bottom"/>
            <w:gridSpan w:val="3"/>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600,000</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180"/>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4360" w:type="dxa"/>
            <w:vAlign w:val="bottom"/>
            <w:gridSpan w:val="2"/>
          </w:tcPr>
          <w:p>
            <w:pPr>
              <w:spacing w:after="0"/>
              <w:rPr>
                <w:sz w:val="15"/>
                <w:szCs w:val="15"/>
                <w:color w:val="auto"/>
              </w:rPr>
            </w:pPr>
          </w:p>
        </w:tc>
        <w:tc>
          <w:tcPr>
            <w:tcW w:w="17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100,000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0.01</w:t>
            </w:r>
          </w:p>
        </w:tc>
      </w:tr>
      <w:tr>
        <w:trPr>
          <w:trHeight w:val="211"/>
        </w:trPr>
        <w:tc>
          <w:tcPr>
            <w:tcW w:w="3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6140" w:type="dxa"/>
            <w:vAlign w:val="bottom"/>
            <w:gridSpan w:val="3"/>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5,500,000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512"/>
        </w:trPr>
        <w:tc>
          <w:tcPr>
            <w:tcW w:w="3260" w:type="dxa"/>
            <w:vAlign w:val="bottom"/>
            <w:tcBorders>
              <w:top w:val="single" w:sz="8" w:color="CFF0FC"/>
            </w:tcBorders>
          </w:tcPr>
          <w:p>
            <w:pPr>
              <w:spacing w:after="0"/>
              <w:rPr>
                <w:sz w:val="24"/>
                <w:szCs w:val="24"/>
                <w:color w:val="auto"/>
              </w:rPr>
            </w:pPr>
          </w:p>
        </w:tc>
        <w:tc>
          <w:tcPr>
            <w:tcW w:w="4220" w:type="dxa"/>
            <w:vAlign w:val="bottom"/>
            <w:tcBorders>
              <w:top w:val="single" w:sz="8" w:color="CFF0FC"/>
            </w:tcBorders>
          </w:tcPr>
          <w:p>
            <w:pPr>
              <w:jc w:val="right"/>
              <w:ind w:right="1685"/>
              <w:spacing w:after="0"/>
              <w:rPr>
                <w:sz w:val="20"/>
                <w:szCs w:val="20"/>
                <w:color w:val="auto"/>
              </w:rPr>
            </w:pPr>
            <w:r>
              <w:rPr>
                <w:rFonts w:ascii="Times New Roman" w:cs="Times New Roman" w:eastAsia="Times New Roman" w:hAnsi="Times New Roman"/>
                <w:sz w:val="15"/>
                <w:szCs w:val="15"/>
                <w:color w:val="auto"/>
              </w:rPr>
              <w:t>20</w:t>
            </w:r>
          </w:p>
        </w:tc>
        <w:tc>
          <w:tcPr>
            <w:tcW w:w="140" w:type="dxa"/>
            <w:vAlign w:val="bottom"/>
            <w:tcBorders>
              <w:top w:val="single" w:sz="8" w:color="CFF0FC"/>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r>
      <w:tr>
        <w:trPr>
          <w:trHeight w:val="632"/>
        </w:trPr>
        <w:tc>
          <w:tcPr>
            <w:tcW w:w="32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-775970</wp:posOffset>
            </wp:positionV>
            <wp:extent cx="1143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-762000</wp:posOffset>
            </wp:positionV>
            <wp:extent cx="1143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i w:val="1"/>
          <w:iCs w:val="1"/>
          <w:color w:val="auto"/>
        </w:rPr>
        <w:t>Common Stock</w:t>
      </w:r>
    </w:p>
    <w:p>
      <w:pPr>
        <w:spacing w:after="0" w:line="99"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auto"/>
        </w:rPr>
        <w:t>The following table details the movement in the Company’s outstanding shares of common stock (in thousands). There were no outstanding Class S, Class T or Class X shares as of March 31,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2026</w:t>
            </w: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71"/>
        </w:trPr>
        <w:tc>
          <w:tcPr>
            <w:tcW w:w="2900" w:type="dxa"/>
            <w:vAlign w:val="bottom"/>
          </w:tcPr>
          <w:p>
            <w:pPr>
              <w:spacing w:after="0"/>
              <w:rPr>
                <w:sz w:val="14"/>
                <w:szCs w:val="14"/>
                <w:color w:val="auto"/>
              </w:rPr>
            </w:pPr>
          </w:p>
        </w:tc>
        <w:tc>
          <w:tcPr>
            <w:tcW w:w="1000" w:type="dxa"/>
            <w:vAlign w:val="bottom"/>
            <w:tcBorders>
              <w:bottom w:val="single" w:sz="8" w:color="auto"/>
            </w:tcBorders>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D</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265"/>
              <w:spacing w:after="0" w:line="172" w:lineRule="exact"/>
              <w:rPr>
                <w:sz w:val="20"/>
                <w:szCs w:val="20"/>
                <w:color w:val="auto"/>
              </w:rPr>
            </w:pPr>
            <w:r>
              <w:rPr>
                <w:rFonts w:ascii="Times New Roman" w:cs="Times New Roman" w:eastAsia="Times New Roman" w:hAnsi="Times New Roman"/>
                <w:sz w:val="15"/>
                <w:szCs w:val="15"/>
                <w:b w:val="1"/>
                <w:bCs w:val="1"/>
                <w:color w:val="auto"/>
              </w:rPr>
              <w:t>Class I</w:t>
            </w:r>
          </w:p>
        </w:tc>
        <w:tc>
          <w:tcPr>
            <w:tcW w:w="80" w:type="dxa"/>
            <w:vAlign w:val="bottom"/>
          </w:tcPr>
          <w:p>
            <w:pPr>
              <w:spacing w:after="0"/>
              <w:rPr>
                <w:sz w:val="14"/>
                <w:szCs w:val="14"/>
                <w:color w:val="auto"/>
              </w:rPr>
            </w:pPr>
          </w:p>
        </w:tc>
        <w:tc>
          <w:tcPr>
            <w:tcW w:w="960" w:type="dxa"/>
            <w:vAlign w:val="bottom"/>
            <w:tcBorders>
              <w:bottom w:val="single" w:sz="8" w:color="auto"/>
            </w:tcBorders>
          </w:tcPr>
          <w:p>
            <w:pPr>
              <w:ind w:left="220"/>
              <w:spacing w:after="0" w:line="172" w:lineRule="exact"/>
              <w:rPr>
                <w:sz w:val="20"/>
                <w:szCs w:val="20"/>
                <w:color w:val="auto"/>
              </w:rPr>
            </w:pPr>
            <w:r>
              <w:rPr>
                <w:rFonts w:ascii="Times New Roman" w:cs="Times New Roman" w:eastAsia="Times New Roman" w:hAnsi="Times New Roman"/>
                <w:sz w:val="15"/>
                <w:szCs w:val="15"/>
                <w:b w:val="1"/>
                <w:bCs w:val="1"/>
                <w:color w:val="auto"/>
              </w:rPr>
              <w:t>Class S</w:t>
            </w:r>
          </w:p>
        </w:tc>
        <w:tc>
          <w:tcPr>
            <w:tcW w:w="100" w:type="dxa"/>
            <w:vAlign w:val="bottom"/>
          </w:tcPr>
          <w:p>
            <w:pPr>
              <w:spacing w:after="0"/>
              <w:rPr>
                <w:sz w:val="14"/>
                <w:szCs w:val="14"/>
                <w:color w:val="auto"/>
              </w:rPr>
            </w:pPr>
          </w:p>
        </w:tc>
        <w:tc>
          <w:tcPr>
            <w:tcW w:w="960" w:type="dxa"/>
            <w:vAlign w:val="bottom"/>
            <w:tcBorders>
              <w:bottom w:val="single" w:sz="8" w:color="auto"/>
            </w:tcBorders>
          </w:tcPr>
          <w:p>
            <w:pPr>
              <w:ind w:left="200"/>
              <w:spacing w:after="0" w:line="172" w:lineRule="exact"/>
              <w:rPr>
                <w:sz w:val="20"/>
                <w:szCs w:val="20"/>
                <w:color w:val="auto"/>
              </w:rPr>
            </w:pPr>
            <w:r>
              <w:rPr>
                <w:rFonts w:ascii="Times New Roman" w:cs="Times New Roman" w:eastAsia="Times New Roman" w:hAnsi="Times New Roman"/>
                <w:sz w:val="15"/>
                <w:szCs w:val="15"/>
                <w:b w:val="1"/>
                <w:bCs w:val="1"/>
                <w:color w:val="auto"/>
              </w:rPr>
              <w:t>Class T</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E</w:t>
            </w:r>
          </w:p>
        </w:tc>
        <w:tc>
          <w:tcPr>
            <w:tcW w:w="80" w:type="dxa"/>
            <w:vAlign w:val="bottom"/>
          </w:tcPr>
          <w:p>
            <w:pPr>
              <w:spacing w:after="0"/>
              <w:rPr>
                <w:sz w:val="14"/>
                <w:szCs w:val="14"/>
                <w:color w:val="auto"/>
              </w:rPr>
            </w:pPr>
          </w:p>
        </w:tc>
        <w:tc>
          <w:tcPr>
            <w:tcW w:w="680" w:type="dxa"/>
            <w:vAlign w:val="bottom"/>
            <w:tcBorders>
              <w:bottom w:val="single" w:sz="8" w:color="auto"/>
            </w:tcBorders>
          </w:tcPr>
          <w:p>
            <w:pPr>
              <w:ind w:left="180"/>
              <w:spacing w:after="0" w:line="172" w:lineRule="exact"/>
              <w:rPr>
                <w:sz w:val="20"/>
                <w:szCs w:val="20"/>
                <w:color w:val="auto"/>
              </w:rPr>
            </w:pPr>
            <w:r>
              <w:rPr>
                <w:rFonts w:ascii="Times New Roman" w:cs="Times New Roman" w:eastAsia="Times New Roman" w:hAnsi="Times New Roman"/>
                <w:sz w:val="15"/>
                <w:szCs w:val="15"/>
                <w:b w:val="1"/>
                <w:bCs w:val="1"/>
                <w:color w:val="auto"/>
                <w:w w:val="98"/>
              </w:rPr>
              <w:t>Class X</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jc w:val="right"/>
              <w:ind w:right="225"/>
              <w:spacing w:after="0" w:line="172" w:lineRule="exact"/>
              <w:rPr>
                <w:sz w:val="20"/>
                <w:szCs w:val="20"/>
                <w:color w:val="auto"/>
              </w:rPr>
            </w:pPr>
            <w:r>
              <w:rPr>
                <w:rFonts w:ascii="Times New Roman" w:cs="Times New Roman" w:eastAsia="Times New Roman" w:hAnsi="Times New Roman"/>
                <w:sz w:val="15"/>
                <w:szCs w:val="15"/>
                <w:b w:val="1"/>
                <w:bCs w:val="1"/>
                <w:color w:val="auto"/>
              </w:rPr>
              <w:t>Class Y</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285"/>
              <w:spacing w:after="0" w:line="172" w:lineRule="exact"/>
              <w:rPr>
                <w:sz w:val="20"/>
                <w:szCs w:val="20"/>
                <w:color w:val="auto"/>
              </w:rPr>
            </w:pPr>
            <w:r>
              <w:rPr>
                <w:rFonts w:ascii="Times New Roman" w:cs="Times New Roman" w:eastAsia="Times New Roman" w:hAnsi="Times New Roman"/>
                <w:sz w:val="15"/>
                <w:szCs w:val="15"/>
                <w:b w:val="1"/>
                <w:bCs w:val="1"/>
                <w:color w:val="auto"/>
              </w:rPr>
              <w:t>Total</w:t>
            </w:r>
          </w:p>
        </w:tc>
      </w:tr>
      <w:tr>
        <w:trPr>
          <w:trHeight w:val="171"/>
        </w:trPr>
        <w:tc>
          <w:tcPr>
            <w:tcW w:w="29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Beginning balance</w:t>
            </w:r>
          </w:p>
        </w:tc>
        <w:tc>
          <w:tcPr>
            <w:tcW w:w="10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1,009</w:t>
            </w:r>
          </w:p>
        </w:tc>
        <w:tc>
          <w:tcPr>
            <w:tcW w:w="1100" w:type="dxa"/>
            <w:vAlign w:val="bottom"/>
            <w:gridSpan w:val="2"/>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13,949</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ind w:left="7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ind w:left="7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55,790</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8,579</w:t>
            </w:r>
          </w:p>
        </w:tc>
        <w:tc>
          <w:tcPr>
            <w:tcW w:w="1040" w:type="dxa"/>
            <w:vAlign w:val="bottom"/>
            <w:gridSpan w:val="2"/>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79,327</w:t>
            </w:r>
          </w:p>
        </w:tc>
      </w:tr>
      <w:tr>
        <w:trPr>
          <w:trHeight w:val="18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issued</w:t>
            </w:r>
          </w:p>
        </w:tc>
        <w:tc>
          <w:tcPr>
            <w:tcW w:w="10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w:t>
            </w:r>
          </w:p>
        </w:tc>
        <w:tc>
          <w:tcPr>
            <w:tcW w:w="11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865</w:t>
            </w:r>
          </w:p>
        </w:tc>
        <w:tc>
          <w:tcPr>
            <w:tcW w:w="80" w:type="dxa"/>
            <w:vAlign w:val="bottom"/>
          </w:tcPr>
          <w:p>
            <w:pPr>
              <w:spacing w:after="0"/>
              <w:rPr>
                <w:sz w:val="15"/>
                <w:szCs w:val="15"/>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2,106</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1,239</w:t>
            </w:r>
          </w:p>
        </w:tc>
        <w:tc>
          <w:tcPr>
            <w:tcW w:w="104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4,215</w:t>
            </w:r>
          </w:p>
        </w:tc>
      </w:tr>
      <w:tr>
        <w:trPr>
          <w:trHeight w:val="18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Distribution reinvestment</w:t>
            </w:r>
          </w:p>
        </w:tc>
        <w:tc>
          <w:tcPr>
            <w:tcW w:w="10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10</w:t>
            </w:r>
          </w:p>
        </w:tc>
        <w:tc>
          <w:tcPr>
            <w:tcW w:w="110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334</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58</w:t>
            </w:r>
          </w:p>
        </w:tc>
        <w:tc>
          <w:tcPr>
            <w:tcW w:w="104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484</w:t>
            </w:r>
          </w:p>
        </w:tc>
      </w:tr>
      <w:tr>
        <w:trPr>
          <w:trHeight w:val="18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repurchased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80" w:type="dxa"/>
            <w:vAlign w:val="bottom"/>
          </w:tcPr>
          <w:p>
            <w:pPr>
              <w:spacing w:after="0"/>
              <w:rPr>
                <w:sz w:val="15"/>
                <w:szCs w:val="15"/>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w:t>
            </w:r>
          </w:p>
        </w:tc>
      </w:tr>
      <w:tr>
        <w:trPr>
          <w:trHeight w:val="211"/>
        </w:trPr>
        <w:tc>
          <w:tcPr>
            <w:tcW w:w="2900" w:type="dxa"/>
            <w:vAlign w:val="bottom"/>
            <w:tcBorders>
              <w:bottom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Ending balance</w:t>
            </w:r>
          </w:p>
        </w:tc>
        <w:tc>
          <w:tcPr>
            <w:tcW w:w="1000" w:type="dxa"/>
            <w:vAlign w:val="bottom"/>
            <w:tcBorders>
              <w:bottom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1,013</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14,542</w:t>
            </w:r>
          </w:p>
        </w:tc>
        <w:tc>
          <w:tcPr>
            <w:tcW w:w="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58,083</w:t>
            </w: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9,846</w:t>
            </w:r>
          </w:p>
        </w:tc>
        <w:tc>
          <w:tcPr>
            <w:tcW w:w="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83,484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-20955</wp:posOffset>
            </wp:positionV>
            <wp:extent cx="571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-6350</wp:posOffset>
            </wp:positionV>
            <wp:extent cx="571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-20955</wp:posOffset>
            </wp:positionV>
            <wp:extent cx="571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3170555</wp:posOffset>
            </wp:positionH>
            <wp:positionV relativeFrom="paragraph">
              <wp:posOffset>-6350</wp:posOffset>
            </wp:positionV>
            <wp:extent cx="5715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-20955</wp:posOffset>
            </wp:positionV>
            <wp:extent cx="571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3840480</wp:posOffset>
            </wp:positionH>
            <wp:positionV relativeFrom="paragraph">
              <wp:posOffset>-6350</wp:posOffset>
            </wp:positionV>
            <wp:extent cx="571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-20955</wp:posOffset>
            </wp:positionV>
            <wp:extent cx="5715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571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-20955</wp:posOffset>
            </wp:positionV>
            <wp:extent cx="5016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165" cy="698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-6350</wp:posOffset>
            </wp:positionV>
            <wp:extent cx="501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165" cy="698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-20955</wp:posOffset>
            </wp:positionV>
            <wp:extent cx="501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165" cy="698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-6350</wp:posOffset>
            </wp:positionV>
            <wp:extent cx="5016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65" cy="698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-20955</wp:posOffset>
            </wp:positionV>
            <wp:extent cx="501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165" cy="6985"/>
                    </a:xfrm>
                    <a:prstGeom prst="rect">
                      <a:avLst/>
                    </a:prstGeom>
                    <a:noFill/>
                  </pic:spPr>
                </pic:pic>
              </a:graphicData>
            </a:graphic>
          </wp:anchor>
        </w:drawing>
        <w:drawing>
          <wp:anchor simplePos="0" relativeHeight="251657728" behindDoc="1" locked="0" layoutInCell="0" allowOverlap="1">
            <wp:simplePos x="0" y="0"/>
            <wp:positionH relativeFrom="column">
              <wp:posOffset>6498590</wp:posOffset>
            </wp:positionH>
            <wp:positionV relativeFrom="paragraph">
              <wp:posOffset>-6350</wp:posOffset>
            </wp:positionV>
            <wp:extent cx="5016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165" cy="6985"/>
                    </a:xfrm>
                    <a:prstGeom prst="rect">
                      <a:avLst/>
                    </a:prstGeom>
                    <a:noFill/>
                  </pic:spPr>
                </pic:pic>
              </a:graphicData>
            </a:graphic>
          </wp:anchor>
        </w:drawing>
      </w:r>
    </w:p>
    <w:p>
      <w:pPr>
        <w:spacing w:after="0" w:line="55" w:lineRule="exact"/>
        <w:rPr>
          <w:sz w:val="20"/>
          <w:szCs w:val="20"/>
          <w:color w:val="auto"/>
        </w:rPr>
      </w:pPr>
    </w:p>
    <w:p>
      <w:pPr>
        <w:jc w:val="both"/>
        <w:ind w:right="40"/>
        <w:spacing w:after="0" w:line="278" w:lineRule="auto"/>
        <w:rPr>
          <w:sz w:val="20"/>
          <w:szCs w:val="20"/>
          <w:color w:val="auto"/>
        </w:rPr>
      </w:pPr>
      <w:r>
        <w:rPr>
          <w:rFonts w:ascii="Times New Roman" w:cs="Times New Roman" w:eastAsia="Times New Roman" w:hAnsi="Times New Roman"/>
          <w:sz w:val="15"/>
          <w:szCs w:val="15"/>
          <w:color w:val="auto"/>
        </w:rPr>
        <w:t>The following table details the movement in the Company’s outstanding shares of common stock (in thousands). There were no outstanding Class S, Class T or Class X shares as of March 31,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5"/>
                <w:szCs w:val="15"/>
                <w:b w:val="1"/>
                <w:bCs w:val="1"/>
                <w:color w:val="auto"/>
                <w:w w:val="99"/>
              </w:rPr>
              <w:t>For The Three Months Ended March 31, 2025</w:t>
            </w: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1040" w:type="dxa"/>
            <w:vAlign w:val="bottom"/>
          </w:tcPr>
          <w:p>
            <w:pPr>
              <w:jc w:val="right"/>
              <w:ind w:right="265"/>
              <w:spacing w:after="0" w:line="172" w:lineRule="exact"/>
              <w:rPr>
                <w:sz w:val="20"/>
                <w:szCs w:val="20"/>
                <w:color w:val="auto"/>
              </w:rPr>
            </w:pPr>
            <w:r>
              <w:rPr>
                <w:rFonts w:ascii="Times New Roman" w:cs="Times New Roman" w:eastAsia="Times New Roman" w:hAnsi="Times New Roman"/>
                <w:sz w:val="15"/>
                <w:szCs w:val="15"/>
                <w:b w:val="1"/>
                <w:bCs w:val="1"/>
                <w:color w:val="auto"/>
              </w:rPr>
              <w:t>Class D</w:t>
            </w:r>
          </w:p>
        </w:tc>
        <w:tc>
          <w:tcPr>
            <w:tcW w:w="140" w:type="dxa"/>
            <w:vAlign w:val="bottom"/>
          </w:tcPr>
          <w:p>
            <w:pPr>
              <w:spacing w:after="0"/>
              <w:rPr>
                <w:sz w:val="14"/>
                <w:szCs w:val="14"/>
                <w:color w:val="auto"/>
              </w:rPr>
            </w:pPr>
          </w:p>
        </w:tc>
        <w:tc>
          <w:tcPr>
            <w:tcW w:w="940" w:type="dxa"/>
            <w:vAlign w:val="bottom"/>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I</w:t>
            </w:r>
          </w:p>
        </w:tc>
        <w:tc>
          <w:tcPr>
            <w:tcW w:w="140" w:type="dxa"/>
            <w:vAlign w:val="bottom"/>
          </w:tcPr>
          <w:p>
            <w:pPr>
              <w:spacing w:after="0"/>
              <w:rPr>
                <w:sz w:val="14"/>
                <w:szCs w:val="14"/>
                <w:color w:val="auto"/>
              </w:rPr>
            </w:pPr>
          </w:p>
        </w:tc>
        <w:tc>
          <w:tcPr>
            <w:tcW w:w="940" w:type="dxa"/>
            <w:vAlign w:val="bottom"/>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S</w:t>
            </w:r>
          </w:p>
        </w:tc>
        <w:tc>
          <w:tcPr>
            <w:tcW w:w="140" w:type="dxa"/>
            <w:vAlign w:val="bottom"/>
          </w:tcPr>
          <w:p>
            <w:pPr>
              <w:spacing w:after="0"/>
              <w:rPr>
                <w:sz w:val="14"/>
                <w:szCs w:val="14"/>
                <w:color w:val="auto"/>
              </w:rPr>
            </w:pPr>
          </w:p>
        </w:tc>
        <w:tc>
          <w:tcPr>
            <w:tcW w:w="940" w:type="dxa"/>
            <w:vAlign w:val="bottom"/>
          </w:tcPr>
          <w:p>
            <w:pPr>
              <w:ind w:left="160"/>
              <w:spacing w:after="0" w:line="172" w:lineRule="exact"/>
              <w:rPr>
                <w:sz w:val="20"/>
                <w:szCs w:val="20"/>
                <w:color w:val="auto"/>
              </w:rPr>
            </w:pPr>
            <w:r>
              <w:rPr>
                <w:rFonts w:ascii="Times New Roman" w:cs="Times New Roman" w:eastAsia="Times New Roman" w:hAnsi="Times New Roman"/>
                <w:sz w:val="15"/>
                <w:szCs w:val="15"/>
                <w:b w:val="1"/>
                <w:bCs w:val="1"/>
                <w:color w:val="auto"/>
              </w:rPr>
              <w:t>Class T</w:t>
            </w:r>
          </w:p>
        </w:tc>
        <w:tc>
          <w:tcPr>
            <w:tcW w:w="140" w:type="dxa"/>
            <w:vAlign w:val="bottom"/>
          </w:tcPr>
          <w:p>
            <w:pPr>
              <w:spacing w:after="0"/>
              <w:rPr>
                <w:sz w:val="14"/>
                <w:szCs w:val="14"/>
                <w:color w:val="auto"/>
              </w:rPr>
            </w:pPr>
          </w:p>
        </w:tc>
        <w:tc>
          <w:tcPr>
            <w:tcW w:w="1220" w:type="dxa"/>
            <w:vAlign w:val="bottom"/>
            <w:gridSpan w:val="3"/>
          </w:tcPr>
          <w:p>
            <w:pPr>
              <w:ind w:left="160"/>
              <w:spacing w:after="0" w:line="172" w:lineRule="exact"/>
              <w:rPr>
                <w:sz w:val="20"/>
                <w:szCs w:val="20"/>
                <w:color w:val="auto"/>
              </w:rPr>
            </w:pPr>
            <w:r>
              <w:rPr>
                <w:rFonts w:ascii="Times New Roman" w:cs="Times New Roman" w:eastAsia="Times New Roman" w:hAnsi="Times New Roman"/>
                <w:sz w:val="15"/>
                <w:szCs w:val="15"/>
                <w:b w:val="1"/>
                <w:bCs w:val="1"/>
                <w:color w:val="auto"/>
              </w:rPr>
              <w:t>Class E</w:t>
            </w:r>
          </w:p>
        </w:tc>
        <w:tc>
          <w:tcPr>
            <w:tcW w:w="760" w:type="dxa"/>
            <w:vAlign w:val="bottom"/>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Class X</w:t>
            </w:r>
          </w:p>
        </w:tc>
        <w:tc>
          <w:tcPr>
            <w:tcW w:w="140" w:type="dxa"/>
            <w:vAlign w:val="bottom"/>
          </w:tcPr>
          <w:p>
            <w:pPr>
              <w:spacing w:after="0"/>
              <w:rPr>
                <w:sz w:val="14"/>
                <w:szCs w:val="14"/>
                <w:color w:val="auto"/>
              </w:rPr>
            </w:pPr>
          </w:p>
        </w:tc>
        <w:tc>
          <w:tcPr>
            <w:tcW w:w="920" w:type="dxa"/>
            <w:vAlign w:val="bottom"/>
          </w:tcPr>
          <w:p>
            <w:pPr>
              <w:jc w:val="right"/>
              <w:ind w:right="225"/>
              <w:spacing w:after="0" w:line="172" w:lineRule="exact"/>
              <w:rPr>
                <w:sz w:val="20"/>
                <w:szCs w:val="20"/>
                <w:color w:val="auto"/>
              </w:rPr>
            </w:pPr>
            <w:r>
              <w:rPr>
                <w:rFonts w:ascii="Times New Roman" w:cs="Times New Roman" w:eastAsia="Times New Roman" w:hAnsi="Times New Roman"/>
                <w:sz w:val="15"/>
                <w:szCs w:val="15"/>
                <w:b w:val="1"/>
                <w:bCs w:val="1"/>
                <w:color w:val="auto"/>
              </w:rPr>
              <w:t>Class Y</w:t>
            </w:r>
          </w:p>
        </w:tc>
        <w:tc>
          <w:tcPr>
            <w:tcW w:w="120" w:type="dxa"/>
            <w:vAlign w:val="bottom"/>
          </w:tcPr>
          <w:p>
            <w:pPr>
              <w:spacing w:after="0"/>
              <w:rPr>
                <w:sz w:val="14"/>
                <w:szCs w:val="14"/>
                <w:color w:val="auto"/>
              </w:rPr>
            </w:pPr>
          </w:p>
        </w:tc>
        <w:tc>
          <w:tcPr>
            <w:tcW w:w="860" w:type="dxa"/>
            <w:vAlign w:val="bottom"/>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104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993</w:t>
            </w:r>
          </w:p>
        </w:tc>
        <w:tc>
          <w:tcPr>
            <w:tcW w:w="140" w:type="dxa"/>
            <w:vAlign w:val="bottom"/>
          </w:tcPr>
          <w:p>
            <w:pPr>
              <w:spacing w:after="0"/>
              <w:rPr>
                <w:sz w:val="14"/>
                <w:szCs w:val="14"/>
                <w:color w:val="auto"/>
              </w:rPr>
            </w:pPr>
          </w:p>
        </w:tc>
        <w:tc>
          <w:tcPr>
            <w:tcW w:w="94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10,146</w:t>
            </w:r>
          </w:p>
        </w:tc>
        <w:tc>
          <w:tcPr>
            <w:tcW w:w="140" w:type="dxa"/>
            <w:vAlign w:val="bottom"/>
          </w:tcPr>
          <w:p>
            <w:pPr>
              <w:spacing w:after="0"/>
              <w:rPr>
                <w:sz w:val="14"/>
                <w:szCs w:val="14"/>
                <w:color w:val="auto"/>
              </w:rPr>
            </w:pPr>
          </w:p>
        </w:tc>
        <w:tc>
          <w:tcPr>
            <w:tcW w:w="94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56</w:t>
            </w:r>
          </w:p>
        </w:tc>
        <w:tc>
          <w:tcPr>
            <w:tcW w:w="140" w:type="dxa"/>
            <w:vAlign w:val="bottom"/>
          </w:tcPr>
          <w:p>
            <w:pPr>
              <w:spacing w:after="0"/>
              <w:rPr>
                <w:sz w:val="14"/>
                <w:szCs w:val="14"/>
                <w:color w:val="auto"/>
              </w:rPr>
            </w:pPr>
          </w:p>
        </w:tc>
        <w:tc>
          <w:tcPr>
            <w:tcW w:w="940" w:type="dxa"/>
            <w:vAlign w:val="bottom"/>
            <w:tcBorders>
              <w:top w:val="single" w:sz="8" w:color="auto"/>
            </w:tcBorders>
          </w:tcPr>
          <w:p>
            <w:pPr>
              <w:ind w:left="6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4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18,566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4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2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2,131</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31,892</w:t>
            </w:r>
          </w:p>
        </w:tc>
        <w:tc>
          <w:tcPr>
            <w:tcW w:w="0" w:type="dxa"/>
            <w:vAlign w:val="bottom"/>
          </w:tcPr>
          <w:p>
            <w:pPr>
              <w:spacing w:after="0"/>
              <w:rPr>
                <w:sz w:val="1"/>
                <w:szCs w:val="1"/>
                <w:color w:val="auto"/>
              </w:rPr>
            </w:pPr>
          </w:p>
        </w:tc>
      </w:tr>
      <w:tr>
        <w:trPr>
          <w:trHeight w:val="18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Common stock issued</w:t>
            </w:r>
          </w:p>
        </w:tc>
        <w:tc>
          <w:tcPr>
            <w:tcW w:w="10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60</w:t>
            </w:r>
          </w:p>
        </w:tc>
        <w:tc>
          <w:tcPr>
            <w:tcW w:w="10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1,662</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24,171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1,426</w:t>
            </w:r>
          </w:p>
        </w:tc>
        <w:tc>
          <w:tcPr>
            <w:tcW w:w="980" w:type="dxa"/>
            <w:vAlign w:val="bottom"/>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27,319</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Distribution reinvestment</w:t>
            </w: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Common stock repurchased</w:t>
            </w:r>
          </w:p>
        </w:tc>
        <w:tc>
          <w:tcPr>
            <w:tcW w:w="10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(113)</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(56)</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171"/>
        </w:trPr>
        <w:tc>
          <w:tcPr>
            <w:tcW w:w="28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Ending balance</w:t>
            </w:r>
          </w:p>
        </w:tc>
        <w:tc>
          <w:tcPr>
            <w:tcW w:w="10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1,050</w:t>
            </w:r>
          </w:p>
        </w:tc>
        <w:tc>
          <w:tcPr>
            <w:tcW w:w="108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11,695</w:t>
            </w:r>
          </w:p>
        </w:tc>
        <w:tc>
          <w:tcPr>
            <w:tcW w:w="140" w:type="dxa"/>
            <w:vAlign w:val="bottom"/>
          </w:tcPr>
          <w:p>
            <w:pPr>
              <w:spacing w:after="0"/>
              <w:rPr>
                <w:sz w:val="14"/>
                <w:szCs w:val="14"/>
                <w:color w:val="auto"/>
              </w:rPr>
            </w:pPr>
          </w:p>
        </w:tc>
        <w:tc>
          <w:tcPr>
            <w:tcW w:w="9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40" w:type="dxa"/>
            <w:vAlign w:val="bottom"/>
          </w:tcPr>
          <w:p>
            <w:pPr>
              <w:ind w:left="6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42,734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4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3,557</w:t>
            </w:r>
          </w:p>
        </w:tc>
        <w:tc>
          <w:tcPr>
            <w:tcW w:w="980" w:type="dxa"/>
            <w:vAlign w:val="bottom"/>
            <w:gridSpan w:val="2"/>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59,036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-141605</wp:posOffset>
            </wp:positionV>
            <wp:extent cx="857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3148965</wp:posOffset>
            </wp:positionH>
            <wp:positionV relativeFrom="paragraph">
              <wp:posOffset>-141605</wp:posOffset>
            </wp:positionV>
            <wp:extent cx="857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-141605</wp:posOffset>
            </wp:positionV>
            <wp:extent cx="857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-141605</wp:posOffset>
            </wp:positionV>
            <wp:extent cx="857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-141605</wp:posOffset>
            </wp:positionV>
            <wp:extent cx="7810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-141605</wp:posOffset>
            </wp:positionV>
            <wp:extent cx="7810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-141605</wp:posOffset>
            </wp:positionV>
            <wp:extent cx="7810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8105" cy="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was no outstanding preferred stock as of March 31, 2026 and December 31, 2025,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 repurchases</w:t>
      </w:r>
    </w:p>
    <w:p>
      <w:pPr>
        <w:spacing w:after="0" w:line="9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auto"/>
        </w:rPr>
        <w:t>The Company repurchased shares of its common stock for $5.9 million during the three months ended March 31, 2026. The Company had no unfulfilled repurchase requests during the three months ended March 31, 2026. See Note 13 for further details on repurchases of Mandatorily Redeemable Instruments.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 reinvestment plan</w:t>
      </w:r>
    </w:p>
    <w:p>
      <w:pPr>
        <w:spacing w:after="0" w:line="9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The Company has adopted a distribution reinvestment plan whereby holders of shares of common stock will have the cash distributions attributable to the shares they own reinvested in additional shares; provided, however, that clients of certain participating broker-dealers that do not permit automatic enrollment in the distribution reinvestment plan and stockholders that are residents of certain states that do not permit automatic enrollment in the distribution reinvestment plan will automatically receive their distributions in cash unless they elect to participate in the distribution reinvestment plan.</w:t>
      </w:r>
    </w:p>
    <w:p>
      <w:pPr>
        <w:spacing w:after="0" w:line="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5"/>
          <w:szCs w:val="15"/>
          <w:color w:val="auto"/>
        </w:rPr>
        <w:t>The purchase price for shares of the Company's common stock purchased pursuant to the distribution reinvestment plan will be equal to the transaction price for the applicable class of shares at the time the distribution is payable (which will generally be equal to the Company’s prior month’s NAV per share). Stockholders will not pay upfront selling commissions or dealer manager fees when purchasing shares of common stock pursuant to the distribution reinvestment plan. The stockholder servicing fees with respect to Class D shares, Class S shares, Class T shares and Class Y shares are calculated based on the Company’s NAV for those shares and may reduce the NAV or, alternatively, the distributions payable with respect to shares of each such class, including shares issued in respect of distributions on such shares under the distribution reinvestment plan. Shares acquired under the distribution reinvestment plan will entitle the participant to the same rights and be treated in the same manner as shares purchased in the Offerings.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Distributions</w:t>
      </w:r>
    </w:p>
    <w:p>
      <w:pPr>
        <w:spacing w:after="0" w:line="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The Company generally intends to distribute substantially all of its taxable income, which does not necessarily equal net income as calculated in accordance with GAAP, to its stockholders each year to comply with the REIT provisions of the Internal Revenue Code of 1986, as amended (the “Code”). Shares of each class of common stock receive the same gross distribution per share. The net distribution varies for shares of each class based on the applicable stockholder servicing fee, which is deducted from the monthly distribution per share and paid directly to the applicable distributor.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detail the distributions declared for shares of each applicable class of common stock: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8"/>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2026</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right"/>
              <w:ind w:right="132"/>
              <w:spacing w:after="0" w:line="138" w:lineRule="exact"/>
              <w:rPr>
                <w:sz w:val="20"/>
                <w:szCs w:val="20"/>
                <w:color w:val="auto"/>
              </w:rPr>
            </w:pPr>
            <w:r>
              <w:rPr>
                <w:rFonts w:ascii="Times New Roman" w:cs="Times New Roman" w:eastAsia="Times New Roman" w:hAnsi="Times New Roman"/>
                <w:sz w:val="15"/>
                <w:szCs w:val="15"/>
                <w:b w:val="1"/>
                <w:bCs w:val="1"/>
                <w:color w:val="auto"/>
              </w:rPr>
              <w:t>Class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gridSpan w:val="2"/>
          </w:tcPr>
          <w:p>
            <w:pPr>
              <w:jc w:val="center"/>
              <w:ind w:right="45"/>
              <w:spacing w:after="0" w:line="138" w:lineRule="exact"/>
              <w:rPr>
                <w:sz w:val="20"/>
                <w:szCs w:val="20"/>
                <w:color w:val="auto"/>
              </w:rPr>
            </w:pPr>
            <w:r>
              <w:rPr>
                <w:rFonts w:ascii="Times New Roman" w:cs="Times New Roman" w:eastAsia="Times New Roman" w:hAnsi="Times New Roman"/>
                <w:sz w:val="15"/>
                <w:szCs w:val="15"/>
                <w:b w:val="1"/>
                <w:bCs w:val="1"/>
                <w:color w:val="auto"/>
                <w:w w:val="99"/>
              </w:rPr>
              <w:t>Class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9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Aggregate gross distributions declared per share of common 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8"/>
              </w:rPr>
              <w:t>Class D</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Class I</w:t>
            </w: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2"/>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S</w:t>
            </w:r>
            <w:r>
              <w:rPr>
                <w:rFonts w:ascii="Times New Roman" w:cs="Times New Roman" w:eastAsia="Times New Roman" w:hAnsi="Times New Roman"/>
                <w:sz w:val="9"/>
                <w:szCs w:val="9"/>
                <w:b w:val="1"/>
                <w:bCs w:val="1"/>
                <w:color w:val="auto"/>
              </w:rPr>
              <w:t>(2)</w:t>
            </w: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Class 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w w:val="95"/>
              </w:rPr>
              <w:t>Class E</w:t>
            </w:r>
          </w:p>
        </w:tc>
        <w:tc>
          <w:tcPr>
            <w:tcW w:w="32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5"/>
                <w:szCs w:val="15"/>
                <w:b w:val="1"/>
                <w:bCs w:val="1"/>
                <w:color w:val="auto"/>
              </w:rPr>
              <w:t>X</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Class Y</w:t>
            </w: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40" w:type="dxa"/>
            <w:vAlign w:val="bottom"/>
          </w:tcPr>
          <w:p>
            <w:pPr>
              <w:spacing w:after="0"/>
              <w:rPr>
                <w:sz w:val="14"/>
                <w:szCs w:val="14"/>
                <w:color w:val="auto"/>
              </w:rPr>
            </w:pPr>
          </w:p>
        </w:tc>
        <w:tc>
          <w:tcPr>
            <w:tcW w:w="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40" w:type="dxa"/>
            <w:vAlign w:val="bottom"/>
          </w:tcPr>
          <w:p>
            <w:pPr>
              <w:spacing w:after="0"/>
              <w:rPr>
                <w:sz w:val="14"/>
                <w:szCs w:val="14"/>
                <w:color w:val="auto"/>
              </w:rPr>
            </w:pPr>
          </w:p>
        </w:tc>
        <w:tc>
          <w:tcPr>
            <w:tcW w:w="12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32"/>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320" w:type="dxa"/>
            <w:vAlign w:val="bottom"/>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0" w:type="dxa"/>
            <w:vAlign w:val="bottom"/>
          </w:tcPr>
          <w:p>
            <w:pPr>
              <w:spacing w:after="0"/>
              <w:rPr>
                <w:sz w:val="1"/>
                <w:szCs w:val="1"/>
                <w:color w:val="auto"/>
              </w:rPr>
            </w:pPr>
          </w:p>
        </w:tc>
      </w:tr>
      <w:tr>
        <w:trPr>
          <w:trHeight w:val="180"/>
        </w:trPr>
        <w:tc>
          <w:tcPr>
            <w:tcW w:w="590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Stockholder servicing fee per share of common stock</w:t>
            </w:r>
            <w:r>
              <w:rPr>
                <w:rFonts w:ascii="Times New Roman" w:cs="Times New Roman" w:eastAsia="Times New Roman" w:hAnsi="Times New Roman"/>
                <w:sz w:val="20"/>
                <w:szCs w:val="20"/>
                <w:color w:val="auto"/>
                <w:vertAlign w:val="superscript"/>
              </w:rPr>
              <w:t>(1)</w:t>
            </w:r>
          </w:p>
        </w:tc>
        <w:tc>
          <w:tcPr>
            <w:tcW w:w="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right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right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CFF0FC"/>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(0.0235)</w:t>
            </w:r>
          </w:p>
        </w:tc>
        <w:tc>
          <w:tcPr>
            <w:tcW w:w="0" w:type="dxa"/>
            <w:vAlign w:val="bottom"/>
          </w:tcPr>
          <w:p>
            <w:pPr>
              <w:spacing w:after="0"/>
              <w:rPr>
                <w:sz w:val="1"/>
                <w:szCs w:val="1"/>
                <w:color w:val="auto"/>
              </w:rPr>
            </w:pPr>
          </w:p>
        </w:tc>
      </w:tr>
      <w:tr>
        <w:trPr>
          <w:trHeight w:val="171"/>
        </w:trPr>
        <w:tc>
          <w:tcPr>
            <w:tcW w:w="59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Net distributions declared per share of common stock</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140" w:type="dxa"/>
            <w:vAlign w:val="bottom"/>
            <w:gridSpan w:val="2"/>
          </w:tcPr>
          <w:p>
            <w:pPr>
              <w:ind w:lef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1264</w:t>
            </w:r>
          </w:p>
        </w:tc>
        <w:tc>
          <w:tcPr>
            <w:tcW w:w="16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32"/>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ind w:lef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1264</w:t>
            </w:r>
          </w:p>
        </w:tc>
        <w:tc>
          <w:tcPr>
            <w:tcW w:w="320" w:type="dxa"/>
            <w:vAlign w:val="bottom"/>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0.1029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2025</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4"/>
            <w:vMerge w:val="restart"/>
          </w:tcPr>
          <w:p>
            <w:pPr>
              <w:jc w:val="center"/>
              <w:ind w:right="92"/>
              <w:spacing w:after="0"/>
              <w:rPr>
                <w:sz w:val="20"/>
                <w:szCs w:val="20"/>
                <w:color w:val="auto"/>
              </w:rPr>
            </w:pPr>
            <w:r>
              <w:rPr>
                <w:rFonts w:ascii="Times New Roman" w:cs="Times New Roman" w:eastAsia="Times New Roman" w:hAnsi="Times New Roman"/>
                <w:sz w:val="15"/>
                <w:szCs w:val="15"/>
                <w:b w:val="1"/>
                <w:bCs w:val="1"/>
                <w:color w:val="auto"/>
                <w:w w:val="93"/>
              </w:rPr>
              <w:t>Class S</w:t>
            </w:r>
            <w:r>
              <w:rPr>
                <w:rFonts w:ascii="Times New Roman" w:cs="Times New Roman" w:eastAsia="Times New Roman" w:hAnsi="Times New Roman"/>
                <w:sz w:val="20"/>
                <w:szCs w:val="20"/>
                <w:b w:val="1"/>
                <w:bCs w:val="1"/>
                <w:color w:val="auto"/>
                <w:w w:val="93"/>
                <w:vertAlign w:val="superscript"/>
              </w:rPr>
              <w:t>(2)</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gridSpan w:val="2"/>
          </w:tcPr>
          <w:p>
            <w:pPr>
              <w:jc w:val="center"/>
              <w:ind w:right="45"/>
              <w:spacing w:after="0" w:line="153" w:lineRule="exact"/>
              <w:rPr>
                <w:sz w:val="20"/>
                <w:szCs w:val="20"/>
                <w:color w:val="auto"/>
              </w:rPr>
            </w:pPr>
            <w:r>
              <w:rPr>
                <w:rFonts w:ascii="Times New Roman" w:cs="Times New Roman" w:eastAsia="Times New Roman" w:hAnsi="Times New Roman"/>
                <w:sz w:val="15"/>
                <w:szCs w:val="15"/>
                <w:b w:val="1"/>
                <w:bCs w:val="1"/>
                <w:color w:val="auto"/>
                <w:w w:val="99"/>
              </w:rPr>
              <w:t>Class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Class D</w:t>
            </w:r>
          </w:p>
        </w:tc>
        <w:tc>
          <w:tcPr>
            <w:tcW w:w="80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Class I</w:t>
            </w:r>
          </w:p>
        </w:tc>
        <w:tc>
          <w:tcPr>
            <w:tcW w:w="940" w:type="dxa"/>
            <w:vAlign w:val="bottom"/>
            <w:tcBorders>
              <w:bottom w:val="single" w:sz="8" w:color="auto"/>
            </w:tcBorders>
            <w:gridSpan w:val="4"/>
            <w:vMerge w:val="continue"/>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Class T</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Class E</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X</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Class Y</w:t>
            </w:r>
          </w:p>
        </w:tc>
        <w:tc>
          <w:tcPr>
            <w:tcW w:w="0" w:type="dxa"/>
            <w:vAlign w:val="bottom"/>
          </w:tcPr>
          <w:p>
            <w:pPr>
              <w:spacing w:after="0"/>
              <w:rPr>
                <w:sz w:val="1"/>
                <w:szCs w:val="1"/>
                <w:color w:val="auto"/>
              </w:rPr>
            </w:pPr>
          </w:p>
        </w:tc>
      </w:tr>
      <w:tr>
        <w:trPr>
          <w:trHeight w:val="171"/>
        </w:trPr>
        <w:tc>
          <w:tcPr>
            <w:tcW w:w="59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Aggregate gross distributions declared per share of common stock</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gridSpan w:val="3"/>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300" w:type="dxa"/>
            <w:vAlign w:val="bottom"/>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right w:val="single" w:sz="8" w:color="CFF0FC"/>
            </w:tcBorders>
            <w:gridSpan w:val="3"/>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w w:val="92"/>
              </w:rPr>
              <w:t>0.1125</w:t>
            </w:r>
          </w:p>
        </w:tc>
        <w:tc>
          <w:tcPr>
            <w:tcW w:w="300" w:type="dxa"/>
            <w:vAlign w:val="bottom"/>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right w:val="single" w:sz="8" w:color="CFF0FC"/>
            </w:tcBorders>
            <w:gridSpan w:val="3"/>
            <w:shd w:val="clear" w:color="auto" w:fill="CFF0FC"/>
          </w:tcPr>
          <w:p>
            <w:pPr>
              <w:jc w:val="right"/>
              <w:ind w:right="92"/>
              <w:spacing w:after="0" w:line="171" w:lineRule="exact"/>
              <w:rPr>
                <w:sz w:val="20"/>
                <w:szCs w:val="20"/>
                <w:color w:val="auto"/>
              </w:rPr>
            </w:pPr>
            <w:r>
              <w:rPr>
                <w:rFonts w:ascii="Times New Roman" w:cs="Times New Roman" w:eastAsia="Times New Roman" w:hAnsi="Times New Roman"/>
                <w:sz w:val="15"/>
                <w:szCs w:val="15"/>
                <w:color w:val="auto"/>
              </w:rPr>
              <w:t>0.0375</w:t>
            </w:r>
          </w:p>
        </w:tc>
        <w:tc>
          <w:tcPr>
            <w:tcW w:w="2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CFF0FC"/>
            </w:tcBorders>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32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right w:val="single" w:sz="8" w:color="CFF0FC"/>
            </w:tcBorders>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0" w:type="dxa"/>
            <w:vAlign w:val="bottom"/>
          </w:tcPr>
          <w:p>
            <w:pPr>
              <w:spacing w:after="0"/>
              <w:rPr>
                <w:sz w:val="1"/>
                <w:szCs w:val="1"/>
                <w:color w:val="auto"/>
              </w:rPr>
            </w:pPr>
          </w:p>
        </w:tc>
      </w:tr>
      <w:tr>
        <w:trPr>
          <w:trHeight w:val="180"/>
        </w:trPr>
        <w:tc>
          <w:tcPr>
            <w:tcW w:w="59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Stockholder servicing fee per share of common stock</w:t>
            </w:r>
            <w:r>
              <w:rPr>
                <w:rFonts w:ascii="Times New Roman" w:cs="Times New Roman" w:eastAsia="Times New Roman" w:hAnsi="Times New Roman"/>
                <w:sz w:val="20"/>
                <w:szCs w:val="20"/>
                <w:color w:val="auto"/>
                <w:vertAlign w:val="superscript"/>
              </w:rPr>
              <w:t>(1)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5"/>
                <w:szCs w:val="15"/>
                <w:color w:val="auto"/>
              </w:rPr>
              <w:t>(0.0078)</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(0.0229)</w:t>
            </w:r>
          </w:p>
        </w:tc>
        <w:tc>
          <w:tcPr>
            <w:tcW w:w="0" w:type="dxa"/>
            <w:vAlign w:val="bottom"/>
          </w:tcPr>
          <w:p>
            <w:pPr>
              <w:spacing w:after="0"/>
              <w:rPr>
                <w:sz w:val="1"/>
                <w:szCs w:val="1"/>
                <w:color w:val="auto"/>
              </w:rPr>
            </w:pPr>
          </w:p>
        </w:tc>
      </w:tr>
      <w:tr>
        <w:trPr>
          <w:trHeight w:val="191"/>
        </w:trPr>
        <w:tc>
          <w:tcPr>
            <w:tcW w:w="59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distributions declared per share of common stock</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FF0FC"/>
            </w:tcBorders>
            <w:gridSpan w:val="3"/>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300" w:type="dxa"/>
            <w:vAlign w:val="bottom"/>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right w:val="single" w:sz="8" w:color="CFF0FC"/>
            </w:tcBorders>
            <w:gridSpan w:val="3"/>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w w:val="91"/>
              </w:rPr>
              <w:t>0.</w:t>
            </w:r>
            <w:r>
              <w:rPr>
                <w:rFonts w:ascii="Times New Roman" w:cs="Times New Roman" w:eastAsia="Times New Roman" w:hAnsi="Times New Roman"/>
                <w:sz w:val="15"/>
                <w:szCs w:val="15"/>
                <w:u w:val="single" w:color="auto"/>
                <w:color w:val="auto"/>
                <w:w w:val="91"/>
              </w:rPr>
              <w:t>1125</w:t>
            </w:r>
          </w:p>
        </w:tc>
        <w:tc>
          <w:tcPr>
            <w:tcW w:w="300" w:type="dxa"/>
            <w:vAlign w:val="bottom"/>
            <w:shd w:val="clear" w:color="auto" w:fill="CFF0FC"/>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right w:val="single" w:sz="8" w:color="CFF0FC"/>
            </w:tcBorders>
            <w:gridSpan w:val="3"/>
            <w:shd w:val="clear" w:color="auto" w:fill="CFF0FC"/>
          </w:tcPr>
          <w:p>
            <w:pPr>
              <w:jc w:val="right"/>
              <w:ind w:right="92"/>
              <w:spacing w:after="0" w:line="171" w:lineRule="exact"/>
              <w:rPr>
                <w:sz w:val="20"/>
                <w:szCs w:val="20"/>
                <w:color w:val="auto"/>
              </w:rPr>
            </w:pPr>
            <w:r>
              <w:rPr>
                <w:rFonts w:ascii="Times New Roman" w:cs="Times New Roman" w:eastAsia="Times New Roman" w:hAnsi="Times New Roman"/>
                <w:sz w:val="15"/>
                <w:szCs w:val="15"/>
                <w:color w:val="auto"/>
              </w:rPr>
              <w:t>0.0297</w:t>
            </w:r>
          </w:p>
        </w:tc>
        <w:tc>
          <w:tcPr>
            <w:tcW w:w="2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CFF0FC"/>
            </w:tcBorders>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1125</w:t>
            </w:r>
          </w:p>
        </w:tc>
        <w:tc>
          <w:tcPr>
            <w:tcW w:w="32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0.0896</w:t>
            </w: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-996950</wp:posOffset>
            </wp:positionV>
            <wp:extent cx="2857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-996950</wp:posOffset>
            </wp:positionV>
            <wp:extent cx="2857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-996950</wp:posOffset>
            </wp:positionV>
            <wp:extent cx="285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-996950</wp:posOffset>
            </wp:positionV>
            <wp:extent cx="285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-996950</wp:posOffset>
            </wp:positionV>
            <wp:extent cx="285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-996950</wp:posOffset>
            </wp:positionV>
            <wp:extent cx="215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-20955</wp:posOffset>
            </wp:positionV>
            <wp:extent cx="285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-6350</wp:posOffset>
            </wp:positionV>
            <wp:extent cx="285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-20955</wp:posOffset>
            </wp:positionV>
            <wp:extent cx="285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-6350</wp:posOffset>
            </wp:positionV>
            <wp:extent cx="285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-20955</wp:posOffset>
            </wp:positionV>
            <wp:extent cx="2857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-6350</wp:posOffset>
            </wp:positionV>
            <wp:extent cx="285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-20955</wp:posOffset>
            </wp:positionV>
            <wp:extent cx="285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-6350</wp:posOffset>
            </wp:positionV>
            <wp:extent cx="285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-20955</wp:posOffset>
            </wp:positionV>
            <wp:extent cx="285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-6350</wp:posOffset>
            </wp:positionV>
            <wp:extent cx="2857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-20955</wp:posOffset>
            </wp:positionV>
            <wp:extent cx="215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-6350</wp:posOffset>
            </wp:positionV>
            <wp:extent cx="215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66" w:lineRule="exact"/>
        <w:rPr>
          <w:sz w:val="20"/>
          <w:szCs w:val="20"/>
          <w:color w:val="auto"/>
        </w:rPr>
      </w:pPr>
    </w:p>
    <w:p>
      <w:pPr>
        <w:ind w:right="180" w:firstLine="10"/>
        <w:spacing w:after="0" w:line="398" w:lineRule="auto"/>
        <w:tabs>
          <w:tab w:leader="none" w:pos="142"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 The Company accrued stockholder servicing fees of $7.1 million and $6.3 million as of March 31, 2026 and December 31, 2025, respectively.</w:t>
      </w:r>
    </w:p>
    <w:p>
      <w:pPr>
        <w:ind w:left="160" w:hanging="150"/>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Class S shares were repurchased prior to the February 28, 2025 record date for distributions.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Redeemable Non-Controlling Interest</w:t>
      </w:r>
    </w:p>
    <w:p>
      <w:pPr>
        <w:spacing w:after="0" w:line="9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color w:val="auto"/>
        </w:rPr>
        <w:t>In connection with its performance participation interest, the Special Limited Partner holds Class E units. See Note 9 for further details of the Special Limited Partner’s performance participation interest. Because the Special Limited Partner has the ability to redeem its Class E units for cash, at its election, the Company has classified these Class E units as redeemable non-controlling interest in mezzanine equity on the Company’s Condensed Consolidated Balance Sheets. The redeemable non-controlling interest is recorded at the greater of the carrying amount, adjusted for its share of the allocation of income or loss and distributions, or the redemption value, which is equivalent to fair value, of such units at the end of each measurement period which was $0.3 million and $0.9 million as of March 31, 2026 and December 31, 2025,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Mandatorily Redeemable Instruments</w:t>
      </w:r>
    </w:p>
    <w:p>
      <w:pPr>
        <w:spacing w:after="0" w:line="1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 xml:space="preserve">The Class E units held by JPMIM and purchased pursuant to the Initial Capitalization are mandatorily redeemable, and only subject to delays to the continuous obligation to ultimately redeem the instruments once sufficient availability exists under share repurchase agreements. Therefore, the Mandatorily Redeemable Instruments held by JPMIM are classified as a liability pursuant to Topic 480 — </w:t>
      </w:r>
      <w:r>
        <w:rPr>
          <w:rFonts w:ascii="Times New Roman" w:cs="Times New Roman" w:eastAsia="Times New Roman" w:hAnsi="Times New Roman"/>
          <w:sz w:val="15"/>
          <w:szCs w:val="15"/>
          <w:i w:val="1"/>
          <w:iCs w:val="1"/>
          <w:color w:val="auto"/>
        </w:rPr>
        <w:t>Distinguishing Liabilities from Equity</w:t>
      </w:r>
      <w:r>
        <w:rPr>
          <w:rFonts w:ascii="Times New Roman" w:cs="Times New Roman" w:eastAsia="Times New Roman" w:hAnsi="Times New Roman"/>
          <w:sz w:val="15"/>
          <w:szCs w:val="15"/>
          <w:color w:val="auto"/>
        </w:rPr>
        <w:t xml:space="preserve"> and are presented as Mandatorily Redeemable Instruments at the initial funding amount received, which is equivalent to fair value at the issuance dates. Subsequently, the Mandatorily Redeemable Instruments are carried at their cash redemption value as if the Class E units were repurchased or redeemable at the reporting date, which equals NAV per Class E unit. The change in carrying value (changes in NAV per Class E unit) is classified as Mandatorily redeemable instruments interest costs along with any cash distributions declared in the Condensed Consolidated Statements of Operations. During the three months ended March 31, 2026, the Company recorded $0.6 million of Mandatorily redeemable instruments interest costs in the Condensed Consolidated Statements of Operations, which consisted of redemption value adjustments of $0.2 million and distribution expenses of $0.4 million, respectively. During the three months ended March 31, 2025, the Company recorded $1.2 million of mandatorily redeemable instruments interest costs in the Condensed Consolidated Statements of Operations, which consisted of a redemption value adjustment of $0.1 million and distribution expenses of $1.1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an investor in Class E units, JPMIM's interest does not have any voting rights but is entitled to receive distributions at the same rate applicable to other classes of units.</w:t>
      </w:r>
    </w:p>
    <w:p>
      <w:pPr>
        <w:spacing w:after="0" w:line="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Operating Partnership units also carry a protective exchange feature whereby in a liquidation, dilution or winding up, each unit will convert into a number of Class I units (or fraction thereof) having an equivalent NAV. Such feature is designed to carry over NAV into a new form of security immediately prior to liquidation and is not deemed a substantive conversion feature as it is only applicable upon liquidation or upon a listing event which is not the intent of this public, non-listed REIT structure.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019" w:right="319" w:bottom="1440" w:gutter="0" w:footer="0" w:header="0"/>
        </w:sectPr>
      </w:pPr>
    </w:p>
    <w:bookmarkStart w:id="24" w:name="page25"/>
    <w:bookmarkEnd w:id="24"/>
    <w:p>
      <w:pPr>
        <w:ind w:right="80"/>
        <w:spacing w:after="0" w:line="259" w:lineRule="auto"/>
        <w:rPr>
          <w:sz w:val="20"/>
          <w:szCs w:val="20"/>
          <w:color w:val="auto"/>
        </w:rPr>
      </w:pPr>
      <w:r>
        <w:rPr>
          <w:rFonts w:ascii="Times New Roman" w:cs="Times New Roman" w:eastAsia="Times New Roman" w:hAnsi="Times New Roman"/>
          <w:sz w:val="15"/>
          <w:szCs w:val="15"/>
          <w:color w:val="auto"/>
        </w:rPr>
        <w:t>As of December 31, 2025, the Company had sold 9.0 million Class E units and 0.5 million Class E shares to the Adviser for an aggregate purchase price of $94.2 million and $5.8 million, respectively. During the three months ended March 31, 2026, the Company did not sell any Class E units or Class E shares to the Adviser that are subject to mandatory repurchase requirements (see Note 2). During the three months ended March 31, 2026, the Company repurchased 2.8 million Class E units amounting to $32.5 million. As of March 31, 2026, there are no outstanding Class E shares held by the Adviser that are subject to mandatory repurchase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Mandatorily Redeemable Instruments activity for the three months ended March 31, 2026 ($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106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71"/>
        </w:trPr>
        <w:tc>
          <w:tcPr>
            <w:tcW w:w="8480" w:type="dxa"/>
            <w:vAlign w:val="bottom"/>
            <w:gridSpan w:val="2"/>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Balance at the beginning of the year</w:t>
            </w:r>
          </w:p>
        </w:tc>
        <w:tc>
          <w:tcPr>
            <w:tcW w:w="680" w:type="dxa"/>
            <w:vAlign w:val="bottom"/>
            <w:gridSpan w:val="2"/>
            <w:shd w:val="clear" w:color="auto" w:fill="CFF0FC"/>
          </w:tcPr>
          <w:p>
            <w:pPr>
              <w:jc w:val="right"/>
              <w:ind w:right="385"/>
              <w:spacing w:after="0" w:line="172"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54,794</w:t>
            </w:r>
          </w:p>
        </w:tc>
        <w:tc>
          <w:tcPr>
            <w:tcW w:w="0" w:type="dxa"/>
            <w:vAlign w:val="bottom"/>
          </w:tcPr>
          <w:p>
            <w:pPr>
              <w:spacing w:after="0"/>
              <w:rPr>
                <w:sz w:val="1"/>
                <w:szCs w:val="1"/>
                <w:color w:val="auto"/>
              </w:rPr>
            </w:pPr>
          </w:p>
        </w:tc>
      </w:tr>
      <w:tr>
        <w:trPr>
          <w:trHeight w:val="180"/>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(Repurchase) Issuance</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(32,490)</w:t>
            </w:r>
          </w:p>
        </w:tc>
        <w:tc>
          <w:tcPr>
            <w:tcW w:w="0" w:type="dxa"/>
            <w:vAlign w:val="bottom"/>
          </w:tcPr>
          <w:p>
            <w:pPr>
              <w:spacing w:after="0"/>
              <w:rPr>
                <w:sz w:val="1"/>
                <w:szCs w:val="1"/>
                <w:color w:val="auto"/>
              </w:rPr>
            </w:pPr>
          </w:p>
        </w:tc>
      </w:tr>
      <w:tr>
        <w:trPr>
          <w:trHeight w:val="180"/>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Distributions declared</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1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80"/>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Reclassification to distributions payable/paid</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Redemption value adjustment</w:t>
            </w:r>
          </w:p>
        </w:tc>
        <w:tc>
          <w:tcPr>
            <w:tcW w:w="1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1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208</w:t>
            </w: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auto"/>
              </w:rPr>
              <w:t>Ending balance</w:t>
            </w:r>
          </w:p>
        </w:tc>
        <w:tc>
          <w:tcPr>
            <w:tcW w:w="680" w:type="dxa"/>
            <w:vAlign w:val="bottom"/>
            <w:gridSpan w:val="2"/>
          </w:tcPr>
          <w:p>
            <w:pPr>
              <w:jc w:val="right"/>
              <w:ind w:right="3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22,512</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The following table details the future payments due under the Mandatorily Redeemable Instruments as of March 31, 2026 ($ in thousands):</w:t>
            </w: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4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120" w:type="dxa"/>
            <w:vAlign w:val="bottom"/>
          </w:tcPr>
          <w:p>
            <w:pPr>
              <w:jc w:val="right"/>
              <w:ind w:right="1105"/>
              <w:spacing w:after="0"/>
              <w:rPr>
                <w:sz w:val="20"/>
                <w:szCs w:val="20"/>
                <w:color w:val="auto"/>
              </w:rPr>
            </w:pPr>
            <w:r>
              <w:rPr>
                <w:rFonts w:ascii="Times New Roman" w:cs="Times New Roman" w:eastAsia="Times New Roman" w:hAnsi="Times New Roman"/>
                <w:sz w:val="15"/>
                <w:szCs w:val="15"/>
                <w:b w:val="1"/>
                <w:bCs w:val="1"/>
                <w:color w:val="auto"/>
              </w:rPr>
              <w:t>Total</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171"/>
        </w:trPr>
        <w:tc>
          <w:tcPr>
            <w:tcW w:w="834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rPr>
              <w:t>2026 (remaining)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top w:val="single" w:sz="8" w:color="auto"/>
            </w:tcBorders>
          </w:tcPr>
          <w:p>
            <w:pPr>
              <w:jc w:val="right"/>
              <w:ind w:right="3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212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22,512</w:t>
            </w:r>
          </w:p>
        </w:tc>
        <w:tc>
          <w:tcPr>
            <w:tcW w:w="0" w:type="dxa"/>
            <w:vAlign w:val="bottom"/>
          </w:tcPr>
          <w:p>
            <w:pPr>
              <w:spacing w:after="0"/>
              <w:rPr>
                <w:sz w:val="1"/>
                <w:szCs w:val="1"/>
                <w:color w:val="auto"/>
              </w:rPr>
            </w:pPr>
          </w:p>
        </w:tc>
      </w:tr>
      <w:tr>
        <w:trPr>
          <w:trHeight w:val="180"/>
        </w:trPr>
        <w:tc>
          <w:tcPr>
            <w:tcW w:w="8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1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3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1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2030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4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Thereafter</w:t>
            </w:r>
          </w:p>
        </w:tc>
        <w:tc>
          <w:tcPr>
            <w:tcW w:w="1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1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848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auto"/>
              </w:rPr>
              <w:t>Total future payments</w:t>
            </w:r>
          </w:p>
        </w:tc>
        <w:tc>
          <w:tcPr>
            <w:tcW w:w="680" w:type="dxa"/>
            <w:vAlign w:val="bottom"/>
            <w:gridSpan w:val="2"/>
          </w:tcPr>
          <w:p>
            <w:pPr>
              <w:jc w:val="right"/>
              <w:ind w:right="3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22,512</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See below for the redemption terms.</w:t>
            </w: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Redemption features</w:t>
      </w:r>
    </w:p>
    <w:p>
      <w:pPr>
        <w:spacing w:after="0" w:line="2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5"/>
          <w:szCs w:val="15"/>
          <w:color w:val="auto"/>
        </w:rPr>
        <w:t>JPMIM had agreed to hold all the Class E shares and Class E units it purchased pursuant to the JPM Initial Capitalization until July 22, 2025. Following such date, each month the Company has been repurchasing, without further action by JPMIM, a number of Class E shares or Class E units from JPMIM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until such time as the JPM Initial Capitalization has been fully repurchased; provided, that the number of shares subject to each JPM Mandatory Repurchase may be reduced where other holders of Class E shares that were issued pursuant to the Initial Capitalization and are not subject to repurchase under the share repurchase plan request repurchase of their shares, in which case the Class E shares and Class E units held by JPMIM and such other investors will be repurchased on a pro rata basis based on their respective percentage ownership in the Company immediately prior to such repurchase (not to exceed an aggregate number of shares equal to the amount available under the share repurchase plan’s 2% monthly and 5% quarterly caps). Notwithstanding the foregoing, the Company will not effect any JPM Mandatory Repurchase during any month in which the full amount of all shares requested to be repurchased by stockholders other than JPMIM under the share repurchase plan is not repurchased or when the share repurchase plan has been suspended.</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In addition, subject to certain exceptions, where the shares of the Company’s common stock and Operating Partnership units owned by the Adviser, together with any such shares and units owned by the Adviser and its affiliates, including any shares or units issued in lieu of cash management fees payable to the Adviser or the performance participation payable to the Special Limited Partner (such aggregate ownership, the “JPM Interest”), represent a 24.99% or lesser interest in the Company, the Company will, or will cause the Operating Partnership to, automatically and without further action by the Adviser, repurchase or redeem, as applicable, an amount of shares or units from the Adviser as may be necessary to cause the JPM Interest to remain equal to or less than 24.99% (each such repurchase or redemption, a “JPM Regulatory Repurchase”). To the extent the Adviser elects to receive its management fee in shares of the Company’s common stock or Operating Partnership units, the Company may repurchase those shares or units without regard to the limitations described above or the early repurchase deduction.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i w:val="1"/>
          <w:iCs w:val="1"/>
          <w:color w:val="auto"/>
        </w:rPr>
        <w:t>Distributions</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Company generally intends to distribute substantially all of its taxable income, which does not necessarily equal net income as calculated in accordance with GAAP, to its stockholders each year to comply with the REIT provisions of the Code. The Mandatorily Redeemable Instruments receive the same gross distribution per share as the Class E common stock. For the three months ended March 31, 2026 and 2025, distributions declared on the Mandatorily Redeemable Instruments totaled $0.4 million and $1.1 million, respectively. When a distribution is declared, the Company records a distribution expense as a component of Mandatorily redeemable instruments interest cost in the Condensed Consolidated Statements of Operations. A distribution payable is also recorded within accounts payable, accrued expenses and other liabilities on the Company's Condensed Consolidated Balance Sheets until the distribution is paid. The distribution payable for Mandatorily Redeemable Instruments was $0.1 million and $0.2 million as of March 31, 2026 and December 31, 2025, respectively.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Earnings Per Share</w:t>
      </w:r>
    </w:p>
    <w:p>
      <w:pPr>
        <w:spacing w:after="0" w:line="101"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5"/>
          <w:szCs w:val="15"/>
          <w:color w:val="auto"/>
        </w:rPr>
        <w:t>The Company's net (loss) income and weighted-average number of shares outstanding for the three months ended March 31, 2026 and 2025 consist of the following ($ and shares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640" w:type="dxa"/>
            <w:vAlign w:val="bottom"/>
            <w:tcBorders>
              <w:bottom w:val="single" w:sz="8" w:color="auto"/>
            </w:tcBorders>
          </w:tcPr>
          <w:p>
            <w:pPr>
              <w:spacing w:after="0"/>
              <w:rPr>
                <w:sz w:val="17"/>
                <w:szCs w:val="17"/>
                <w:color w:val="auto"/>
              </w:rPr>
            </w:pPr>
          </w:p>
        </w:tc>
      </w:tr>
      <w:tr>
        <w:trPr>
          <w:trHeight w:val="172"/>
        </w:trPr>
        <w:tc>
          <w:tcPr>
            <w:tcW w:w="5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2026</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Borders>
              <w:bottom w:val="single" w:sz="8" w:color="auto"/>
            </w:tcBorders>
          </w:tcPr>
          <w:p>
            <w:pPr>
              <w:spacing w:after="0"/>
              <w:rPr>
                <w:sz w:val="14"/>
                <w:szCs w:val="14"/>
                <w:color w:val="auto"/>
              </w:rPr>
            </w:pPr>
          </w:p>
        </w:tc>
      </w:tr>
      <w:tr>
        <w:trPr>
          <w:trHeight w:val="171"/>
        </w:trPr>
        <w:tc>
          <w:tcPr>
            <w:tcW w:w="56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(loss) income attributable to JPMREIT stockholders</w:t>
            </w:r>
          </w:p>
        </w:tc>
        <w:tc>
          <w:tcPr>
            <w:tcW w:w="2940" w:type="dxa"/>
            <w:vAlign w:val="bottom"/>
            <w:gridSpan w:val="2"/>
            <w:shd w:val="clear" w:color="auto" w:fill="CFF0FC"/>
          </w:tcPr>
          <w:p>
            <w:pPr>
              <w:jc w:val="right"/>
              <w:ind w:right="1005"/>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(2,778)</w:t>
            </w:r>
          </w:p>
        </w:tc>
        <w:tc>
          <w:tcPr>
            <w:tcW w:w="1380" w:type="dxa"/>
            <w:vAlign w:val="bottom"/>
            <w:gridSpan w:val="2"/>
            <w:shd w:val="clear" w:color="auto" w:fill="CFF0FC"/>
          </w:tcPr>
          <w:p>
            <w:pPr>
              <w:jc w:val="right"/>
              <w:ind w:right="10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1,681</w:t>
            </w:r>
          </w:p>
        </w:tc>
      </w:tr>
      <w:tr>
        <w:trPr>
          <w:trHeight w:val="18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shares of common stock outstanding, basic</w:t>
            </w: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82,216</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50,719</w:t>
            </w:r>
          </w:p>
        </w:tc>
      </w:tr>
      <w:tr>
        <w:trPr>
          <w:trHeight w:val="18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Weighted-average shares of common stock outstanding, diluted</w:t>
            </w:r>
          </w:p>
        </w:tc>
        <w:tc>
          <w:tcPr>
            <w:tcW w:w="18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82,216</w:t>
            </w: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50,724</w:t>
            </w:r>
          </w:p>
        </w:tc>
      </w:tr>
    </w:tbl>
    <w:p>
      <w:pPr>
        <w:spacing w:after="0" w:line="75" w:lineRule="exact"/>
        <w:rPr>
          <w:sz w:val="20"/>
          <w:szCs w:val="20"/>
          <w:color w:val="auto"/>
        </w:rPr>
      </w:pPr>
    </w:p>
    <w:p>
      <w:pPr>
        <w:jc w:val="both"/>
        <w:ind w:right="160"/>
        <w:spacing w:after="0" w:line="278" w:lineRule="auto"/>
        <w:rPr>
          <w:sz w:val="20"/>
          <w:szCs w:val="20"/>
          <w:color w:val="auto"/>
        </w:rPr>
      </w:pPr>
      <w:r>
        <w:rPr>
          <w:rFonts w:ascii="Times New Roman" w:cs="Times New Roman" w:eastAsia="Times New Roman" w:hAnsi="Times New Roman"/>
          <w:sz w:val="15"/>
          <w:szCs w:val="15"/>
          <w:color w:val="auto"/>
        </w:rPr>
        <w:t>The calculation of basic and diluted net (loss) income per share amounts for the three months ended March 31, 2026 and 2025 consists of the following ($ and shares in thousands except per-share numbers):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640" w:type="dxa"/>
            <w:vAlign w:val="bottom"/>
            <w:tcBorders>
              <w:bottom w:val="single" w:sz="8" w:color="auto"/>
            </w:tcBorders>
          </w:tcPr>
          <w:p>
            <w:pPr>
              <w:spacing w:after="0"/>
              <w:rPr>
                <w:sz w:val="17"/>
                <w:szCs w:val="17"/>
                <w:color w:val="auto"/>
              </w:rPr>
            </w:pPr>
          </w:p>
        </w:tc>
      </w:tr>
      <w:tr>
        <w:trPr>
          <w:trHeight w:val="172"/>
        </w:trPr>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2026</w:t>
            </w:r>
          </w:p>
        </w:tc>
        <w:tc>
          <w:tcPr>
            <w:tcW w:w="72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Pr>
          <w:p>
            <w:pPr>
              <w:spacing w:after="0"/>
              <w:rPr>
                <w:sz w:val="14"/>
                <w:szCs w:val="14"/>
                <w:color w:val="auto"/>
              </w:rPr>
            </w:pPr>
          </w:p>
        </w:tc>
      </w:tr>
      <w:tr>
        <w:trPr>
          <w:trHeight w:val="171"/>
        </w:trPr>
        <w:tc>
          <w:tcPr>
            <w:tcW w:w="74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Basic Net (Loss) Income per Share Attributable to JPMREIT Stockholders</w:t>
            </w:r>
          </w:p>
        </w:tc>
        <w:tc>
          <w:tcPr>
            <w:tcW w:w="2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r>
      <w:tr>
        <w:trPr>
          <w:trHeight w:val="180"/>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Net (loss) income attributable to JPMREIT stockholders</w:t>
            </w:r>
          </w:p>
        </w:tc>
        <w:tc>
          <w:tcPr>
            <w:tcW w:w="114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(2,778)</w:t>
            </w:r>
          </w:p>
        </w:tc>
        <w:tc>
          <w:tcPr>
            <w:tcW w:w="138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1,681</w:t>
            </w:r>
          </w:p>
        </w:tc>
      </w:tr>
      <w:tr>
        <w:trPr>
          <w:trHeight w:val="171"/>
        </w:trPr>
        <w:tc>
          <w:tcPr>
            <w:tcW w:w="7400" w:type="dxa"/>
            <w:vAlign w:val="bottom"/>
            <w:tcBorders>
              <w:top w:val="single" w:sz="8" w:color="CFF0FC"/>
            </w:tcBorders>
          </w:tcPr>
          <w:p>
            <w:pPr>
              <w:spacing w:after="0" w:line="171" w:lineRule="exact"/>
              <w:rPr>
                <w:sz w:val="20"/>
                <w:szCs w:val="20"/>
                <w:color w:val="auto"/>
              </w:rPr>
            </w:pPr>
            <w:r>
              <w:rPr>
                <w:rFonts w:ascii="Times New Roman" w:cs="Times New Roman" w:eastAsia="Times New Roman" w:hAnsi="Times New Roman"/>
                <w:sz w:val="15"/>
                <w:szCs w:val="15"/>
                <w:color w:val="auto"/>
              </w:rPr>
              <w:t>Denominator:</w:t>
            </w:r>
          </w:p>
        </w:tc>
        <w:tc>
          <w:tcPr>
            <w:tcW w:w="20" w:type="dxa"/>
            <w:vAlign w:val="bottom"/>
            <w:tcBorders>
              <w:top w:val="single" w:sz="8" w:color="CFF0FC"/>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80"/>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Weighted-average shares of common stock outstanding</w:t>
            </w:r>
          </w:p>
        </w:tc>
        <w:tc>
          <w:tcPr>
            <w:tcW w:w="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82,216</w:t>
            </w: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50,719</w:t>
            </w:r>
          </w:p>
        </w:tc>
      </w:tr>
      <w:tr>
        <w:trPr>
          <w:trHeight w:val="171"/>
        </w:trPr>
        <w:tc>
          <w:tcPr>
            <w:tcW w:w="74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Basic net (loss) income per share of common stock</w:t>
            </w:r>
          </w:p>
        </w:tc>
        <w:tc>
          <w:tcPr>
            <w:tcW w:w="1140" w:type="dxa"/>
            <w:vAlign w:val="bottom"/>
            <w:gridSpan w:val="2"/>
          </w:tcPr>
          <w:p>
            <w:pPr>
              <w:jc w:val="right"/>
              <w:ind w:right="10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(0.03)</w:t>
            </w:r>
          </w:p>
        </w:tc>
        <w:tc>
          <w:tcPr>
            <w:tcW w:w="1380" w:type="dxa"/>
            <w:vAlign w:val="bottom"/>
            <w:gridSpan w:val="2"/>
          </w:tcPr>
          <w:p>
            <w:pPr>
              <w:jc w:val="right"/>
              <w:ind w:right="1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0.03</w:t>
            </w: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7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Diluted Net (Loss) Income per Share Attributable to JPMREIT Stockholders</w:t>
            </w:r>
          </w:p>
        </w:tc>
        <w:tc>
          <w:tcPr>
            <w:tcW w:w="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r>
      <w:tr>
        <w:trPr>
          <w:trHeight w:val="180"/>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Net (loss) income attributable to JPMREIT stockholders</w:t>
            </w:r>
          </w:p>
        </w:tc>
        <w:tc>
          <w:tcPr>
            <w:tcW w:w="114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(2,778)</w:t>
            </w:r>
          </w:p>
        </w:tc>
        <w:tc>
          <w:tcPr>
            <w:tcW w:w="138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1,681</w:t>
            </w:r>
          </w:p>
        </w:tc>
      </w:tr>
      <w:tr>
        <w:trPr>
          <w:trHeight w:val="171"/>
        </w:trPr>
        <w:tc>
          <w:tcPr>
            <w:tcW w:w="7400" w:type="dxa"/>
            <w:vAlign w:val="bottom"/>
            <w:tcBorders>
              <w:top w:val="single" w:sz="8" w:color="CFF0FC"/>
            </w:tcBorders>
          </w:tcPr>
          <w:p>
            <w:pPr>
              <w:spacing w:after="0" w:line="171" w:lineRule="exact"/>
              <w:rPr>
                <w:sz w:val="20"/>
                <w:szCs w:val="20"/>
                <w:color w:val="auto"/>
              </w:rPr>
            </w:pPr>
            <w:r>
              <w:rPr>
                <w:rFonts w:ascii="Times New Roman" w:cs="Times New Roman" w:eastAsia="Times New Roman" w:hAnsi="Times New Roman"/>
                <w:sz w:val="15"/>
                <w:szCs w:val="15"/>
                <w:color w:val="auto"/>
              </w:rPr>
              <w:t>Denominator:</w:t>
            </w:r>
          </w:p>
        </w:tc>
        <w:tc>
          <w:tcPr>
            <w:tcW w:w="20" w:type="dxa"/>
            <w:vAlign w:val="bottom"/>
            <w:tcBorders>
              <w:top w:val="single" w:sz="8" w:color="CFF0FC"/>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80"/>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Weighted-average shares of common stock outstanding</w:t>
            </w:r>
          </w:p>
        </w:tc>
        <w:tc>
          <w:tcPr>
            <w:tcW w:w="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82,216</w:t>
            </w: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50,724</w:t>
            </w:r>
          </w:p>
        </w:tc>
      </w:tr>
      <w:tr>
        <w:trPr>
          <w:trHeight w:val="171"/>
        </w:trPr>
        <w:tc>
          <w:tcPr>
            <w:tcW w:w="74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Diluted net (loss) income per share of common stock</w:t>
            </w:r>
          </w:p>
        </w:tc>
        <w:tc>
          <w:tcPr>
            <w:tcW w:w="1140" w:type="dxa"/>
            <w:vAlign w:val="bottom"/>
            <w:gridSpan w:val="2"/>
          </w:tcPr>
          <w:p>
            <w:pPr>
              <w:jc w:val="right"/>
              <w:ind w:right="10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(0.03)</w:t>
            </w:r>
          </w:p>
        </w:tc>
        <w:tc>
          <w:tcPr>
            <w:tcW w:w="1380" w:type="dxa"/>
            <w:vAlign w:val="bottom"/>
            <w:gridSpan w:val="2"/>
          </w:tcPr>
          <w:p>
            <w:pPr>
              <w:jc w:val="right"/>
              <w:ind w:right="1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0.03</w:t>
            </w:r>
          </w:p>
        </w:tc>
      </w:tr>
      <w:tr>
        <w:trPr>
          <w:trHeight w:val="20"/>
        </w:trPr>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-1210945</wp:posOffset>
            </wp:positionV>
            <wp:extent cx="12128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-975995</wp:posOffset>
            </wp:positionV>
            <wp:extent cx="12128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-377190</wp:posOffset>
            </wp:positionV>
            <wp:extent cx="12128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1285" cy="698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-141605</wp:posOffset>
            </wp:positionV>
            <wp:extent cx="12128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1285" cy="6985"/>
                    </a:xfrm>
                    <a:prstGeom prst="rect">
                      <a:avLst/>
                    </a:prstGeom>
                    <a:noFill/>
                  </pic:spPr>
                </pic:pic>
              </a:graphicData>
            </a:graphic>
          </wp:anchor>
        </w:drawing>
      </w:r>
    </w:p>
    <w:p>
      <w:pPr>
        <w:spacing w:after="0" w:line="55"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5"/>
          <w:szCs w:val="15"/>
          <w:color w:val="auto"/>
        </w:rPr>
        <w:t>For the three months ended March 31, 2026, unvested Class E shares awarded to the Company's independent directors as compensation for their service are excluded from the calculation of diluted earnings per share as the inclusion of such potential common shares in the calculations would be anti-dilutive for the period. There were no other potentially dilutive, unvested common shares for the three months ended March 31, 2026 and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color w:val="auto"/>
        </w:rPr>
        <w:t>15. Segment Reporting</w:t>
      </w:r>
    </w:p>
    <w:p>
      <w:pPr>
        <w:spacing w:after="0" w:line="10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5"/>
          <w:szCs w:val="15"/>
          <w:color w:val="auto"/>
        </w:rPr>
        <w:t>The Chief Executive Officer, as the chief operating decision maker (the “CODM”), allocates resources and evaluates results based on the performance of each of the Company's five reportable segments: multifamily, industrial, single-family rental, retail, and investments in real estate debt, real estate-related and other securities. The Company and the CODM believe that segment net operating income is the key performance metric that captures the unique operating characteristics of each segment. The significant expense categories and amounts presented below align with the segment-level information that is regularly provided to the CODM.</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details the total assets by segment ($ in thousands):</w:t>
            </w: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70"/>
        </w:trPr>
        <w:tc>
          <w:tcPr>
            <w:tcW w:w="57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71"/>
        </w:trPr>
        <w:tc>
          <w:tcPr>
            <w:tcW w:w="57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Multifamily</w:t>
            </w:r>
          </w:p>
        </w:tc>
        <w:tc>
          <w:tcPr>
            <w:tcW w:w="1680" w:type="dxa"/>
            <w:vAlign w:val="bottom"/>
            <w:gridSpan w:val="2"/>
            <w:shd w:val="clear" w:color="auto" w:fill="CFF0FC"/>
          </w:tcPr>
          <w:p>
            <w:pPr>
              <w:jc w:val="right"/>
              <w:ind w:right="85"/>
              <w:spacing w:after="0" w:line="172" w:lineRule="exact"/>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646,208</w:t>
            </w:r>
          </w:p>
        </w:tc>
        <w:tc>
          <w:tcPr>
            <w:tcW w:w="400" w:type="dxa"/>
            <w:vAlign w:val="bottom"/>
            <w:gridSpan w:val="2"/>
            <w:shd w:val="clear" w:color="auto" w:fill="CFF0FC"/>
          </w:tcPr>
          <w:p>
            <w:pPr>
              <w:jc w:val="right"/>
              <w:ind w:right="10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649,339</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Industrial</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434,226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438,750</w:t>
            </w:r>
          </w:p>
        </w:tc>
      </w:tr>
      <w:tr>
        <w:trPr>
          <w:trHeight w:val="18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Single-family rental</w:t>
            </w: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43,692</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43,671</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Retail</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122,124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122,873</w:t>
            </w:r>
          </w:p>
        </w:tc>
      </w:tr>
      <w:tr>
        <w:trPr>
          <w:trHeight w:val="18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Investments in real estate debt, real estate-related and other securities</w:t>
            </w: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321,246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241,220</w:t>
            </w:r>
          </w:p>
        </w:tc>
      </w:tr>
      <w:tr>
        <w:trPr>
          <w:trHeight w:val="180"/>
        </w:trPr>
        <w:tc>
          <w:tcPr>
            <w:tcW w:w="5740" w:type="dxa"/>
            <w:vAlign w:val="bottom"/>
          </w:tcPr>
          <w:p>
            <w:pPr>
              <w:spacing w:after="0"/>
              <w:rPr>
                <w:sz w:val="20"/>
                <w:szCs w:val="20"/>
                <w:color w:val="auto"/>
              </w:rPr>
            </w:pPr>
            <w:r>
              <w:rPr>
                <w:rFonts w:ascii="Times New Roman" w:cs="Times New Roman" w:eastAsia="Times New Roman" w:hAnsi="Times New Roman"/>
                <w:sz w:val="15"/>
                <w:szCs w:val="15"/>
                <w:color w:val="auto"/>
              </w:rPr>
              <w:t>Other (corporate)</w:t>
            </w: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6,099</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7,665</w:t>
            </w:r>
          </w:p>
        </w:tc>
      </w:tr>
      <w:tr>
        <w:trPr>
          <w:trHeight w:val="191"/>
        </w:trPr>
        <w:tc>
          <w:tcPr>
            <w:tcW w:w="57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assets</w:t>
            </w:r>
          </w:p>
        </w:tc>
        <w:tc>
          <w:tcPr>
            <w:tcW w:w="14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1,573,595</w:t>
            </w:r>
          </w:p>
        </w:tc>
        <w:tc>
          <w:tcPr>
            <w:tcW w:w="400" w:type="dxa"/>
            <w:vAlign w:val="bottom"/>
            <w:gridSpan w:val="2"/>
            <w:shd w:val="clear" w:color="auto" w:fill="CFF0FC"/>
          </w:tcPr>
          <w:p>
            <w:pPr>
              <w:jc w:val="right"/>
              <w:ind w:right="1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1,503,518</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-20955</wp:posOffset>
            </wp:positionV>
            <wp:extent cx="13525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5255" cy="698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-6350</wp:posOffset>
            </wp:positionV>
            <wp:extent cx="13525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5255" cy="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financial results by segment for the three months ended March 31, 2026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Investments in real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rPr>
              <w:t>estate debt, real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Single-family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estate-related and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Multifamily</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Industrial</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rental</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Retail</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other securities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Rental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15,808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9,607</w:t>
            </w:r>
          </w:p>
        </w:tc>
        <w:tc>
          <w:tcPr>
            <w:tcW w:w="3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1,019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3,238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29,672</w:t>
            </w:r>
          </w:p>
        </w:tc>
        <w:tc>
          <w:tcPr>
            <w:tcW w:w="0" w:type="dxa"/>
            <w:vAlign w:val="bottom"/>
          </w:tcPr>
          <w:p>
            <w:pPr>
              <w:spacing w:after="0"/>
              <w:rPr>
                <w:sz w:val="1"/>
                <w:szCs w:val="1"/>
                <w:color w:val="auto"/>
              </w:rPr>
            </w:pPr>
          </w:p>
        </w:tc>
      </w:tr>
      <w:tr>
        <w:trPr>
          <w:trHeight w:val="171"/>
        </w:trPr>
        <w:tc>
          <w:tcPr>
            <w:tcW w:w="35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revenues</w:t>
            </w:r>
          </w:p>
        </w:tc>
        <w:tc>
          <w:tcPr>
            <w:tcW w:w="10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15,808</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9,607</w:t>
            </w: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1,019</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3,238</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29,672</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Rental property operating</w:t>
            </w: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7,463</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2,052</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489</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1,288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11,292</w:t>
            </w:r>
          </w:p>
        </w:tc>
        <w:tc>
          <w:tcPr>
            <w:tcW w:w="0" w:type="dxa"/>
            <w:vAlign w:val="bottom"/>
          </w:tcPr>
          <w:p>
            <w:pPr>
              <w:spacing w:after="0"/>
              <w:rPr>
                <w:sz w:val="1"/>
                <w:szCs w:val="1"/>
                <w:color w:val="auto"/>
              </w:rPr>
            </w:pPr>
          </w:p>
        </w:tc>
      </w:tr>
      <w:tr>
        <w:trPr>
          <w:trHeight w:val="171"/>
        </w:trPr>
        <w:tc>
          <w:tcPr>
            <w:tcW w:w="35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 expenses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7,463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2,052</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489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1,288</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11,292</w:t>
            </w:r>
          </w:p>
        </w:tc>
        <w:tc>
          <w:tcPr>
            <w:tcW w:w="0" w:type="dxa"/>
            <w:vAlign w:val="bottom"/>
          </w:tcPr>
          <w:p>
            <w:pPr>
              <w:spacing w:after="0"/>
              <w:rPr>
                <w:sz w:val="1"/>
                <w:szCs w:val="1"/>
                <w:color w:val="auto"/>
              </w:rPr>
            </w:pPr>
          </w:p>
        </w:tc>
      </w:tr>
      <w:tr>
        <w:trPr>
          <w:trHeight w:val="171"/>
        </w:trPr>
        <w:tc>
          <w:tcPr>
            <w:tcW w:w="35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Income from investments in real estate debt</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5,182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5,182</w:t>
            </w:r>
          </w:p>
        </w:tc>
        <w:tc>
          <w:tcPr>
            <w:tcW w:w="0" w:type="dxa"/>
            <w:vAlign w:val="bottom"/>
          </w:tcPr>
          <w:p>
            <w:pPr>
              <w:spacing w:after="0"/>
              <w:rPr>
                <w:sz w:val="1"/>
                <w:szCs w:val="1"/>
                <w:color w:val="auto"/>
              </w:rPr>
            </w:pPr>
          </w:p>
        </w:tc>
      </w:tr>
      <w:tr>
        <w:trPr>
          <w:trHeight w:val="165"/>
        </w:trPr>
        <w:tc>
          <w:tcPr>
            <w:tcW w:w="354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Income from investments in real estate-related and</w:t>
            </w:r>
          </w:p>
        </w:tc>
        <w:tc>
          <w:tcPr>
            <w:tcW w:w="100" w:type="dxa"/>
            <w:vAlign w:val="bottom"/>
          </w:tcPr>
          <w:p>
            <w:pPr>
              <w:spacing w:after="0"/>
              <w:rPr>
                <w:sz w:val="14"/>
                <w:szCs w:val="14"/>
                <w:color w:val="auto"/>
              </w:rPr>
            </w:pP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23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other securities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Segment net operating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8,345</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7,555</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530</w:t>
            </w: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1,950</w:t>
            </w:r>
          </w:p>
        </w:tc>
        <w:tc>
          <w:tcPr>
            <w:tcW w:w="240" w:type="dxa"/>
            <w:vAlign w:val="bottom"/>
            <w:gridSpan w:val="2"/>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5,205</w:t>
            </w: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23,585</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(7,166)</w:t>
            </w:r>
          </w:p>
        </w:tc>
        <w:tc>
          <w:tcPr>
            <w:tcW w:w="160" w:type="dxa"/>
            <w:vAlign w:val="bottom"/>
          </w:tcPr>
          <w:p>
            <w:pPr>
              <w:spacing w:after="0"/>
              <w:rPr>
                <w:sz w:val="13"/>
                <w:szCs w:val="13"/>
                <w:color w:val="auto"/>
              </w:rPr>
            </w:pPr>
          </w:p>
        </w:tc>
        <w:tc>
          <w:tcPr>
            <w:tcW w:w="1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(5,854)</w:t>
            </w:r>
          </w:p>
        </w:tc>
        <w:tc>
          <w:tcPr>
            <w:tcW w:w="160" w:type="dxa"/>
            <w:vAlign w:val="bottom"/>
          </w:tcPr>
          <w:p>
            <w:pPr>
              <w:spacing w:after="0"/>
              <w:rPr>
                <w:sz w:val="13"/>
                <w:szCs w:val="13"/>
                <w:color w:val="auto"/>
              </w:rPr>
            </w:pPr>
          </w:p>
        </w:tc>
        <w:tc>
          <w:tcPr>
            <w:tcW w:w="200" w:type="dxa"/>
            <w:vAlign w:val="bottom"/>
          </w:tcPr>
          <w:p>
            <w:pPr>
              <w:jc w:val="right"/>
              <w:ind w:right="4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(384)</w:t>
            </w:r>
          </w:p>
        </w:tc>
        <w:tc>
          <w:tcPr>
            <w:tcW w:w="34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(1,544)</w:t>
            </w:r>
          </w:p>
        </w:tc>
        <w:tc>
          <w:tcPr>
            <w:tcW w:w="24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(14,948)</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(1,845)</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Mandatorily redeemable instruments interest costs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0" w:type="dxa"/>
            <w:vAlign w:val="bottom"/>
          </w:tcPr>
          <w:p>
            <w:pPr>
              <w:spacing w:after="0"/>
              <w:rPr>
                <w:sz w:val="1"/>
                <w:szCs w:val="1"/>
                <w:color w:val="auto"/>
              </w:rPr>
            </w:pPr>
          </w:p>
        </w:tc>
      </w:tr>
      <w:tr>
        <w:trPr>
          <w:trHeight w:val="18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(9,310)</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r>
        <w:trPr>
          <w:trHeight w:val="211"/>
        </w:trPr>
        <w:tc>
          <w:tcPr>
            <w:tcW w:w="35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(2,977)</w:t>
            </w:r>
          </w:p>
        </w:tc>
        <w:tc>
          <w:tcPr>
            <w:tcW w:w="0" w:type="dxa"/>
            <w:vAlign w:val="bottom"/>
          </w:tcPr>
          <w:p>
            <w:pPr>
              <w:spacing w:after="0"/>
              <w:rPr>
                <w:sz w:val="1"/>
                <w:szCs w:val="1"/>
                <w:color w:val="auto"/>
              </w:rPr>
            </w:pPr>
          </w:p>
        </w:tc>
      </w:tr>
      <w:tr>
        <w:trPr>
          <w:trHeight w:val="139"/>
        </w:trPr>
        <w:tc>
          <w:tcPr>
            <w:tcW w:w="3540" w:type="dxa"/>
            <w:vAlign w:val="bottom"/>
            <w:tcBorders>
              <w:top w:val="single" w:sz="8" w:color="CFF0FC"/>
            </w:tcBorders>
          </w:tcPr>
          <w:p>
            <w:pPr>
              <w:spacing w:after="0" w:line="138" w:lineRule="exact"/>
              <w:rPr>
                <w:sz w:val="20"/>
                <w:szCs w:val="20"/>
                <w:color w:val="auto"/>
              </w:rPr>
            </w:pPr>
            <w:r>
              <w:rPr>
                <w:rFonts w:ascii="Times New Roman" w:cs="Times New Roman" w:eastAsia="Times New Roman" w:hAnsi="Times New Roman"/>
                <w:sz w:val="15"/>
                <w:szCs w:val="15"/>
                <w:color w:val="auto"/>
              </w:rPr>
              <w:t>Net loss attributable to non-controlling interests in</w:t>
            </w:r>
          </w:p>
        </w:tc>
        <w:tc>
          <w:tcPr>
            <w:tcW w:w="10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joint ventures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5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loss attributable to JPMREIT stockholders</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(2,778)</w:t>
            </w:r>
          </w:p>
        </w:tc>
        <w:tc>
          <w:tcPr>
            <w:tcW w:w="0" w:type="dxa"/>
            <w:vAlign w:val="bottom"/>
          </w:tcPr>
          <w:p>
            <w:pPr>
              <w:spacing w:after="0"/>
              <w:rPr>
                <w:sz w:val="1"/>
                <w:szCs w:val="1"/>
                <w:color w:val="auto"/>
              </w:rPr>
            </w:pPr>
          </w:p>
        </w:tc>
      </w:tr>
      <w:tr>
        <w:trPr>
          <w:trHeight w:val="512"/>
        </w:trPr>
        <w:tc>
          <w:tcPr>
            <w:tcW w:w="35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jc w:val="right"/>
              <w:ind w:right="225"/>
              <w:spacing w:after="0"/>
              <w:rPr>
                <w:sz w:val="20"/>
                <w:szCs w:val="20"/>
                <w:color w:val="auto"/>
              </w:rPr>
            </w:pPr>
            <w:r>
              <w:rPr>
                <w:rFonts w:ascii="Times New Roman" w:cs="Times New Roman" w:eastAsia="Times New Roman" w:hAnsi="Times New Roman"/>
                <w:sz w:val="15"/>
                <w:szCs w:val="15"/>
                <w:color w:val="auto"/>
              </w:rPr>
              <w:t>25</w:t>
            </w: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3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-2436495</wp:posOffset>
            </wp:positionV>
            <wp:extent cx="9969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-2436495</wp:posOffset>
            </wp:positionV>
            <wp:extent cx="9969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-2436495</wp:posOffset>
            </wp:positionV>
            <wp:extent cx="927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5436870</wp:posOffset>
            </wp:positionH>
            <wp:positionV relativeFrom="paragraph">
              <wp:posOffset>-2436495</wp:posOffset>
            </wp:positionV>
            <wp:extent cx="927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6363335</wp:posOffset>
            </wp:positionH>
            <wp:positionV relativeFrom="paragraph">
              <wp:posOffset>-2436495</wp:posOffset>
            </wp:positionV>
            <wp:extent cx="9271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-1852295</wp:posOffset>
            </wp:positionV>
            <wp:extent cx="9969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-1838325</wp:posOffset>
            </wp:positionV>
            <wp:extent cx="9969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-1852295</wp:posOffset>
            </wp:positionV>
            <wp:extent cx="9969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-1838325</wp:posOffset>
            </wp:positionV>
            <wp:extent cx="9969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-1852295</wp:posOffset>
            </wp:positionV>
            <wp:extent cx="9271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4638675</wp:posOffset>
            </wp:positionH>
            <wp:positionV relativeFrom="paragraph">
              <wp:posOffset>-1838325</wp:posOffset>
            </wp:positionV>
            <wp:extent cx="927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5436870</wp:posOffset>
            </wp:positionH>
            <wp:positionV relativeFrom="paragraph">
              <wp:posOffset>-1852295</wp:posOffset>
            </wp:positionV>
            <wp:extent cx="9271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5436870</wp:posOffset>
            </wp:positionH>
            <wp:positionV relativeFrom="paragraph">
              <wp:posOffset>-1838325</wp:posOffset>
            </wp:positionV>
            <wp:extent cx="9271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6363335</wp:posOffset>
            </wp:positionH>
            <wp:positionV relativeFrom="paragraph">
              <wp:posOffset>-1852295</wp:posOffset>
            </wp:positionV>
            <wp:extent cx="927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6363335</wp:posOffset>
            </wp:positionH>
            <wp:positionV relativeFrom="paragraph">
              <wp:posOffset>-1838325</wp:posOffset>
            </wp:positionV>
            <wp:extent cx="927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2710" cy="698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color w:val="auto"/>
        </w:rPr>
        <w:t>The following table details the financial results by segment for the three months ended March 31, 2025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Investments in real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w w:val="98"/>
              </w:rPr>
              <w:t>estate debt, real</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Single-family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estate-related and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Multifamily</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Industrial</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rental</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Retail</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other securities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Rental revenue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4,195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1,963</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603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1,509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8,270</w:t>
            </w:r>
          </w:p>
        </w:tc>
        <w:tc>
          <w:tcPr>
            <w:tcW w:w="0" w:type="dxa"/>
            <w:vAlign w:val="bottom"/>
          </w:tcPr>
          <w:p>
            <w:pPr>
              <w:spacing w:after="0"/>
              <w:rPr>
                <w:sz w:val="1"/>
                <w:szCs w:val="1"/>
                <w:color w:val="auto"/>
              </w:rPr>
            </w:pPr>
          </w:p>
        </w:tc>
      </w:tr>
      <w:tr>
        <w:trPr>
          <w:trHeight w:val="171"/>
        </w:trPr>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revenues</w:t>
            </w: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4,195</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1,963</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603</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1,509</w:t>
            </w:r>
          </w:p>
        </w:tc>
        <w:tc>
          <w:tcPr>
            <w:tcW w:w="14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8,270</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Rental property operating</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1,579</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300</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484</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664</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3,033</w:t>
            </w:r>
          </w:p>
        </w:tc>
        <w:tc>
          <w:tcPr>
            <w:tcW w:w="0" w:type="dxa"/>
            <w:vAlign w:val="bottom"/>
          </w:tcPr>
          <w:p>
            <w:pPr>
              <w:spacing w:after="0"/>
              <w:rPr>
                <w:sz w:val="1"/>
                <w:szCs w:val="1"/>
                <w:color w:val="auto"/>
              </w:rPr>
            </w:pPr>
          </w:p>
        </w:tc>
      </w:tr>
      <w:tr>
        <w:trPr>
          <w:trHeight w:val="171"/>
        </w:trPr>
        <w:tc>
          <w:tcPr>
            <w:tcW w:w="34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 expenses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1,579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300</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484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664</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6</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3,033</w:t>
            </w:r>
          </w:p>
        </w:tc>
        <w:tc>
          <w:tcPr>
            <w:tcW w:w="0" w:type="dxa"/>
            <w:vAlign w:val="bottom"/>
          </w:tcPr>
          <w:p>
            <w:pPr>
              <w:spacing w:after="0"/>
              <w:rPr>
                <w:sz w:val="1"/>
                <w:szCs w:val="1"/>
                <w:color w:val="auto"/>
              </w:rPr>
            </w:pPr>
          </w:p>
        </w:tc>
      </w:tr>
      <w:tr>
        <w:trPr>
          <w:trHeight w:val="171"/>
        </w:trPr>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Income from investments in real estate debt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1,478</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1,478</w:t>
            </w:r>
          </w:p>
        </w:tc>
        <w:tc>
          <w:tcPr>
            <w:tcW w:w="0" w:type="dxa"/>
            <w:vAlign w:val="bottom"/>
          </w:tcPr>
          <w:p>
            <w:pPr>
              <w:spacing w:after="0"/>
              <w:rPr>
                <w:sz w:val="1"/>
                <w:szCs w:val="1"/>
                <w:color w:val="auto"/>
              </w:rPr>
            </w:pPr>
          </w:p>
        </w:tc>
      </w:tr>
      <w:tr>
        <w:trPr>
          <w:trHeight w:val="165"/>
        </w:trPr>
        <w:tc>
          <w:tcPr>
            <w:tcW w:w="348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Income from investments in real estate-related and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1,081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securities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Segment net operating income (loss)</w:t>
            </w:r>
          </w:p>
        </w:tc>
        <w:tc>
          <w:tcPr>
            <w:tcW w:w="200" w:type="dxa"/>
            <w:vAlign w:val="bottom"/>
            <w:gridSpan w:val="2"/>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2,616</w:t>
            </w:r>
          </w:p>
        </w:tc>
        <w:tc>
          <w:tcPr>
            <w:tcW w:w="300" w:type="dxa"/>
            <w:vAlign w:val="bottom"/>
            <w:gridSpan w:val="2"/>
            <w:shd w:val="clear" w:color="auto" w:fill="CFF0FC"/>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1,663</w:t>
            </w:r>
          </w:p>
        </w:tc>
        <w:tc>
          <w:tcPr>
            <w:tcW w:w="340" w:type="dxa"/>
            <w:vAlign w:val="bottom"/>
            <w:gridSpan w:val="2"/>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119</w:t>
            </w: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845</w:t>
            </w:r>
          </w:p>
        </w:tc>
        <w:tc>
          <w:tcPr>
            <w:tcW w:w="220" w:type="dxa"/>
            <w:vAlign w:val="bottom"/>
            <w:gridSpan w:val="2"/>
            <w:shd w:val="clear" w:color="auto" w:fill="CFF0FC"/>
          </w:tcPr>
          <w:p>
            <w:pPr>
              <w:ind w:left="14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2,553</w:t>
            </w: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7,796</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8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gridSpan w:val="2"/>
          </w:tcPr>
          <w:p>
            <w:pPr>
              <w:jc w:val="right"/>
              <w:ind w:right="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(1,635)</w:t>
            </w:r>
          </w:p>
        </w:tc>
        <w:tc>
          <w:tcPr>
            <w:tcW w:w="300" w:type="dxa"/>
            <w:vAlign w:val="bottom"/>
            <w:gridSpan w:val="2"/>
          </w:tcPr>
          <w:p>
            <w:pPr>
              <w:jc w:val="right"/>
              <w:ind w:right="6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(949)</w:t>
            </w:r>
          </w:p>
        </w:tc>
        <w:tc>
          <w:tcPr>
            <w:tcW w:w="340" w:type="dxa"/>
            <w:vAlign w:val="bottom"/>
            <w:gridSpan w:val="2"/>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(385)</w:t>
            </w:r>
          </w:p>
        </w:tc>
        <w:tc>
          <w:tcPr>
            <w:tcW w:w="34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(589)</w:t>
            </w:r>
          </w:p>
        </w:tc>
        <w:tc>
          <w:tcPr>
            <w:tcW w:w="22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0"/>
              <w:spacing w:after="0" w:line="154"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(3,558)</w:t>
            </w:r>
          </w:p>
        </w:tc>
        <w:tc>
          <w:tcPr>
            <w:tcW w:w="0" w:type="dxa"/>
            <w:vAlign w:val="bottom"/>
          </w:tcPr>
          <w:p>
            <w:pPr>
              <w:spacing w:after="0"/>
              <w:rPr>
                <w:sz w:val="1"/>
                <w:szCs w:val="1"/>
                <w:color w:val="auto"/>
              </w:rPr>
            </w:pPr>
          </w:p>
        </w:tc>
      </w:tr>
      <w:tr>
        <w:trPr>
          <w:trHeight w:val="18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(1,647)</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Mandatorily redeemable instruments interest costs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0" w:type="dxa"/>
            <w:vAlign w:val="bottom"/>
          </w:tcPr>
          <w:p>
            <w:pPr>
              <w:spacing w:after="0"/>
              <w:rPr>
                <w:sz w:val="1"/>
                <w:szCs w:val="1"/>
                <w:color w:val="auto"/>
              </w:rPr>
            </w:pPr>
          </w:p>
        </w:tc>
      </w:tr>
      <w:tr>
        <w:trPr>
          <w:trHeight w:val="18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2,743</w:t>
            </w:r>
          </w:p>
        </w:tc>
        <w:tc>
          <w:tcPr>
            <w:tcW w:w="0" w:type="dxa"/>
            <w:vAlign w:val="bottom"/>
          </w:tcPr>
          <w:p>
            <w:pPr>
              <w:spacing w:after="0"/>
              <w:rPr>
                <w:sz w:val="1"/>
                <w:szCs w:val="1"/>
                <w:color w:val="auto"/>
              </w:rPr>
            </w:pPr>
          </w:p>
        </w:tc>
      </w:tr>
      <w:tr>
        <w:trPr>
          <w:trHeight w:val="211"/>
        </w:trPr>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1,660</w:t>
            </w:r>
          </w:p>
        </w:tc>
        <w:tc>
          <w:tcPr>
            <w:tcW w:w="0" w:type="dxa"/>
            <w:vAlign w:val="bottom"/>
          </w:tcPr>
          <w:p>
            <w:pPr>
              <w:spacing w:after="0"/>
              <w:rPr>
                <w:sz w:val="1"/>
                <w:szCs w:val="1"/>
                <w:color w:val="auto"/>
              </w:rPr>
            </w:pPr>
          </w:p>
        </w:tc>
      </w:tr>
      <w:tr>
        <w:trPr>
          <w:trHeight w:val="139"/>
        </w:trPr>
        <w:tc>
          <w:tcPr>
            <w:tcW w:w="3480" w:type="dxa"/>
            <w:vAlign w:val="bottom"/>
            <w:tcBorders>
              <w:top w:val="single" w:sz="8" w:color="CFF0FC"/>
            </w:tcBorders>
          </w:tcPr>
          <w:p>
            <w:pPr>
              <w:spacing w:after="0" w:line="138" w:lineRule="exact"/>
              <w:rPr>
                <w:sz w:val="20"/>
                <w:szCs w:val="20"/>
                <w:color w:val="auto"/>
              </w:rPr>
            </w:pPr>
            <w:r>
              <w:rPr>
                <w:rFonts w:ascii="Times New Roman" w:cs="Times New Roman" w:eastAsia="Times New Roman" w:hAnsi="Times New Roman"/>
                <w:sz w:val="15"/>
                <w:szCs w:val="15"/>
                <w:color w:val="auto"/>
              </w:rPr>
              <w:t>Net loss attributable to non-controlling interests in</w:t>
            </w: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2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joint ventures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income attributable to JPMREIT stockholders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1,681</w:t>
            </w:r>
          </w:p>
        </w:tc>
        <w:tc>
          <w:tcPr>
            <w:tcW w:w="0" w:type="dxa"/>
            <w:vAlign w:val="bottom"/>
          </w:tcPr>
          <w:p>
            <w:pPr>
              <w:spacing w:after="0"/>
              <w:rPr>
                <w:sz w:val="1"/>
                <w:szCs w:val="1"/>
                <w:color w:val="auto"/>
              </w:rPr>
            </w:pPr>
          </w:p>
        </w:tc>
      </w:tr>
      <w:tr>
        <w:trPr>
          <w:trHeight w:val="512"/>
        </w:trPr>
        <w:tc>
          <w:tcPr>
            <w:tcW w:w="34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jc w:val="right"/>
              <w:ind w:right="265"/>
              <w:spacing w:after="0"/>
              <w:rPr>
                <w:sz w:val="20"/>
                <w:szCs w:val="20"/>
                <w:color w:val="auto"/>
              </w:rPr>
            </w:pPr>
            <w:r>
              <w:rPr>
                <w:rFonts w:ascii="Times New Roman" w:cs="Times New Roman" w:eastAsia="Times New Roman" w:hAnsi="Times New Roman"/>
                <w:sz w:val="15"/>
                <w:szCs w:val="15"/>
                <w:color w:val="auto"/>
              </w:rPr>
              <w:t>26</w:t>
            </w: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3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-2436495</wp:posOffset>
            </wp:positionV>
            <wp:extent cx="996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-2436495</wp:posOffset>
            </wp:positionV>
            <wp:extent cx="9969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-2436495</wp:posOffset>
            </wp:positionV>
            <wp:extent cx="9271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-2436495</wp:posOffset>
            </wp:positionV>
            <wp:extent cx="9271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-2436495</wp:posOffset>
            </wp:positionV>
            <wp:extent cx="927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-1852295</wp:posOffset>
            </wp:positionV>
            <wp:extent cx="9969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-1838325</wp:posOffset>
            </wp:positionV>
            <wp:extent cx="9969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-1852295</wp:posOffset>
            </wp:positionV>
            <wp:extent cx="9969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-1838325</wp:posOffset>
            </wp:positionV>
            <wp:extent cx="9969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-1852295</wp:posOffset>
            </wp:positionV>
            <wp:extent cx="927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-1838325</wp:posOffset>
            </wp:positionV>
            <wp:extent cx="927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-1852295</wp:posOffset>
            </wp:positionV>
            <wp:extent cx="927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-1838325</wp:posOffset>
            </wp:positionV>
            <wp:extent cx="927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-1852295</wp:posOffset>
            </wp:positionV>
            <wp:extent cx="927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-1838325</wp:posOffset>
            </wp:positionV>
            <wp:extent cx="927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2710" cy="6985"/>
                    </a:xfrm>
                    <a:prstGeom prst="rect">
                      <a:avLst/>
                    </a:prstGeom>
                    <a:noFill/>
                  </pic:spPr>
                </pic:pic>
              </a:graphicData>
            </a:graphic>
          </wp:anchor>
        </w:drawing>
      </w:r>
    </w:p>
    <w:p>
      <w:pPr>
        <w:sectPr>
          <w:pgSz w:w="11900" w:h="16838" w:orient="portrait"/>
          <w:cols w:equalWidth="0" w:num="1">
            <w:col w:w="11280"/>
          </w:cols>
          <w:pgMar w:left="300" w:top="138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color w:val="auto"/>
        </w:rPr>
        <w:t>16. Derivatives</w:t>
      </w:r>
    </w:p>
    <w:p>
      <w:pPr>
        <w:spacing w:after="0" w:line="101"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5"/>
          <w:szCs w:val="15"/>
          <w:color w:val="auto"/>
        </w:rPr>
        <w:t>The Company uses derivative financial instruments to minimize the risks and costs associated with the Company's investments and financing transactions. The Company has not designated any of its derivative financial instruments as hedges as defined under GAAP.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Derivatives not designated as hedges are not speculative and are used to manage the Company's exposure to interest rate movements and other identified risks.</w:t>
      </w:r>
    </w:p>
    <w:p>
      <w:pPr>
        <w:spacing w:after="0" w:line="9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The use of derivative financial instruments involves certain risks, including the risk that counterparties do not perform as agreed. To mitigate this risk, the Company enters into derivative financial instruments with counterparties it believes to have appropriate credit ratings and that are major financial institutions with which the Company and its affiliates may also have other financial relationships.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rate contracts</w:t>
      </w:r>
    </w:p>
    <w:p>
      <w:pPr>
        <w:spacing w:after="0" w:line="9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Certain of the Company's transactions expose the Company to interest rate risk on loans secured by the Company's real estate. The Company uses derivative financial instruments which includes interest rate swaps to limit the Company's exposure to interest rate fluctuations.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details the Company’s outstanding interest rate swaps that were non-designated hedges of interest rate risk (notional amount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left="4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85"/>
              <w:spacing w:after="0" w:line="153" w:lineRule="exact"/>
              <w:rPr>
                <w:sz w:val="20"/>
                <w:szCs w:val="20"/>
                <w:color w:val="auto"/>
              </w:rPr>
            </w:pPr>
            <w:r>
              <w:rPr>
                <w:rFonts w:ascii="Times New Roman" w:cs="Times New Roman" w:eastAsia="Times New Roman" w:hAnsi="Times New Roman"/>
                <w:sz w:val="15"/>
                <w:szCs w:val="15"/>
                <w:b w:val="1"/>
                <w:bCs w:val="1"/>
                <w:color w:val="auto"/>
                <w:w w:val="98"/>
              </w:rPr>
              <w:t>Weighted-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12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Average Strike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w w:val="99"/>
              </w:rPr>
              <w:t>Maturity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0" w:type="dxa"/>
            <w:vAlign w:val="bottom"/>
          </w:tcPr>
          <w:p>
            <w:pPr>
              <w:spacing w:after="0"/>
              <w:rPr>
                <w:sz w:val="1"/>
                <w:szCs w:val="1"/>
                <w:color w:val="auto"/>
              </w:rPr>
            </w:pPr>
          </w:p>
        </w:tc>
      </w:tr>
      <w:tr>
        <w:trPr>
          <w:trHeight w:val="198"/>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Interest rate swap</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Instruments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20" w:type="dxa"/>
            <w:vAlign w:val="bottom"/>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Index</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0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Commencement Date</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Interest rate swaps – mortgage</w:t>
            </w:r>
          </w:p>
        </w:tc>
        <w:tc>
          <w:tcPr>
            <w:tcW w:w="1340" w:type="dxa"/>
            <w:vAlign w:val="bottom"/>
            <w:vMerge w:val="restart"/>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120,100</w:t>
            </w:r>
          </w:p>
        </w:tc>
        <w:tc>
          <w:tcPr>
            <w:tcW w:w="1240" w:type="dxa"/>
            <w:vAlign w:val="bottom"/>
            <w:gridSpan w:val="3"/>
            <w:vMerge w:val="restart"/>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rPr>
              <w:t>3.59%</w:t>
            </w:r>
          </w:p>
        </w:tc>
        <w:tc>
          <w:tcPr>
            <w:tcW w:w="120" w:type="dxa"/>
            <w:vAlign w:val="bottom"/>
            <w:shd w:val="clear" w:color="auto" w:fill="CFF0FC"/>
          </w:tcPr>
          <w:p>
            <w:pPr>
              <w:spacing w:after="0"/>
              <w:rPr>
                <w:sz w:val="13"/>
                <w:szCs w:val="13"/>
                <w:color w:val="auto"/>
              </w:rPr>
            </w:pPr>
          </w:p>
        </w:tc>
        <w:tc>
          <w:tcPr>
            <w:tcW w:w="1160" w:type="dxa"/>
            <w:vAlign w:val="bottom"/>
            <w:gridSpan w:val="3"/>
            <w:vMerge w:val="restart"/>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SOFR</w:t>
            </w:r>
          </w:p>
        </w:tc>
        <w:tc>
          <w:tcPr>
            <w:tcW w:w="10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center"/>
              <w:ind w:right="65"/>
              <w:spacing w:after="0"/>
              <w:rPr>
                <w:sz w:val="20"/>
                <w:szCs w:val="20"/>
                <w:color w:val="auto"/>
              </w:rPr>
            </w:pPr>
            <w:r>
              <w:rPr>
                <w:rFonts w:ascii="Times New Roman" w:cs="Times New Roman" w:eastAsia="Times New Roman" w:hAnsi="Times New Roman"/>
                <w:sz w:val="15"/>
                <w:szCs w:val="15"/>
                <w:color w:val="auto"/>
                <w:w w:val="98"/>
              </w:rPr>
              <w:t>August 17, 2025</w:t>
            </w:r>
          </w:p>
        </w:tc>
        <w:tc>
          <w:tcPr>
            <w:tcW w:w="12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October 19, 2028</w:t>
            </w:r>
          </w:p>
        </w:tc>
        <w:tc>
          <w:tcPr>
            <w:tcW w:w="0" w:type="dxa"/>
            <w:vAlign w:val="bottom"/>
          </w:tcPr>
          <w:p>
            <w:pPr>
              <w:spacing w:after="0"/>
              <w:rPr>
                <w:sz w:val="1"/>
                <w:szCs w:val="1"/>
                <w:color w:val="auto"/>
              </w:rPr>
            </w:pPr>
          </w:p>
        </w:tc>
      </w:tr>
      <w:tr>
        <w:trPr>
          <w:trHeight w:val="104"/>
        </w:trPr>
        <w:tc>
          <w:tcPr>
            <w:tcW w:w="216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notes</w:t>
            </w:r>
          </w:p>
        </w:tc>
        <w:tc>
          <w:tcPr>
            <w:tcW w:w="1340" w:type="dxa"/>
            <w:vAlign w:val="bottom"/>
            <w:vMerge w:val="continue"/>
            <w:shd w:val="clear" w:color="auto" w:fill="CFF0FC"/>
          </w:tcPr>
          <w:p>
            <w:pPr>
              <w:spacing w:after="0"/>
              <w:rPr>
                <w:sz w:val="9"/>
                <w:szCs w:val="9"/>
                <w:color w:val="auto"/>
              </w:rPr>
            </w:pPr>
          </w:p>
        </w:tc>
        <w:tc>
          <w:tcPr>
            <w:tcW w:w="260" w:type="dxa"/>
            <w:vAlign w:val="bottom"/>
            <w:gridSpan w:val="2"/>
            <w:vMerge w:val="continue"/>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1240" w:type="dxa"/>
            <w:vAlign w:val="bottom"/>
            <w:gridSpan w:val="3"/>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gridSpan w:val="3"/>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gridSpan w:val="2"/>
            <w:vMerge w:val="continue"/>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538"/>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805"/>
              <w:spacing w:after="0"/>
              <w:rPr>
                <w:sz w:val="20"/>
                <w:szCs w:val="20"/>
                <w:color w:val="auto"/>
              </w:rPr>
            </w:pPr>
            <w:r>
              <w:rPr>
                <w:rFonts w:ascii="Times New Roman" w:cs="Times New Roman" w:eastAsia="Times New Roman" w:hAnsi="Times New Roman"/>
                <w:sz w:val="15"/>
                <w:szCs w:val="15"/>
                <w:b w:val="1"/>
                <w:bCs w:val="1"/>
                <w:color w:val="auto"/>
                <w:w w:val="98"/>
              </w:rPr>
              <w:t>December 31, 2025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85"/>
              <w:spacing w:after="0" w:line="153" w:lineRule="exact"/>
              <w:rPr>
                <w:sz w:val="20"/>
                <w:szCs w:val="20"/>
                <w:color w:val="auto"/>
              </w:rPr>
            </w:pPr>
            <w:r>
              <w:rPr>
                <w:rFonts w:ascii="Times New Roman" w:cs="Times New Roman" w:eastAsia="Times New Roman" w:hAnsi="Times New Roman"/>
                <w:sz w:val="15"/>
                <w:szCs w:val="15"/>
                <w:b w:val="1"/>
                <w:bCs w:val="1"/>
                <w:color w:val="auto"/>
                <w:w w:val="98"/>
              </w:rPr>
              <w:t>Weighted-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Notional</w:t>
            </w:r>
          </w:p>
        </w:tc>
        <w:tc>
          <w:tcPr>
            <w:tcW w:w="120" w:type="dxa"/>
            <w:vAlign w:val="bottom"/>
          </w:tcPr>
          <w:p>
            <w:pPr>
              <w:spacing w:after="0"/>
              <w:rPr>
                <w:sz w:val="15"/>
                <w:szCs w:val="15"/>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Average Strike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25"/>
              <w:spacing w:after="0"/>
              <w:rPr>
                <w:sz w:val="20"/>
                <w:szCs w:val="20"/>
                <w:color w:val="auto"/>
              </w:rPr>
            </w:pPr>
            <w:r>
              <w:rPr>
                <w:rFonts w:ascii="Times New Roman" w:cs="Times New Roman" w:eastAsia="Times New Roman" w:hAnsi="Times New Roman"/>
                <w:sz w:val="15"/>
                <w:szCs w:val="15"/>
                <w:b w:val="1"/>
                <w:bCs w:val="1"/>
                <w:color w:val="auto"/>
                <w:w w:val="99"/>
              </w:rPr>
              <w:t>Maturity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0" w:type="dxa"/>
            <w:vAlign w:val="bottom"/>
          </w:tcPr>
          <w:p>
            <w:pPr>
              <w:spacing w:after="0"/>
              <w:rPr>
                <w:sz w:val="1"/>
                <w:szCs w:val="1"/>
                <w:color w:val="auto"/>
              </w:rPr>
            </w:pPr>
          </w:p>
        </w:tc>
      </w:tr>
      <w:tr>
        <w:trPr>
          <w:trHeight w:val="198"/>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Interest rate swap</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Instruments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20" w:type="dxa"/>
            <w:vAlign w:val="bottom"/>
          </w:tcPr>
          <w:p>
            <w:pPr>
              <w:spacing w:after="0"/>
              <w:rPr>
                <w:sz w:val="17"/>
                <w:szCs w:val="17"/>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Index</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(Years)</w:t>
            </w:r>
          </w:p>
        </w:tc>
        <w:tc>
          <w:tcPr>
            <w:tcW w:w="10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Commencement Date</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Interest rate swaps – mortgage</w:t>
            </w:r>
          </w:p>
        </w:tc>
        <w:tc>
          <w:tcPr>
            <w:tcW w:w="1340" w:type="dxa"/>
            <w:vAlign w:val="bottom"/>
            <w:vMerge w:val="restart"/>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120,100</w:t>
            </w:r>
          </w:p>
        </w:tc>
        <w:tc>
          <w:tcPr>
            <w:tcW w:w="1240" w:type="dxa"/>
            <w:vAlign w:val="bottom"/>
            <w:gridSpan w:val="3"/>
            <w:vMerge w:val="restart"/>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rPr>
              <w:t>3.59%</w:t>
            </w:r>
          </w:p>
        </w:tc>
        <w:tc>
          <w:tcPr>
            <w:tcW w:w="120" w:type="dxa"/>
            <w:vAlign w:val="bottom"/>
            <w:shd w:val="clear" w:color="auto" w:fill="CFF0FC"/>
          </w:tcPr>
          <w:p>
            <w:pPr>
              <w:spacing w:after="0"/>
              <w:rPr>
                <w:sz w:val="13"/>
                <w:szCs w:val="13"/>
                <w:color w:val="auto"/>
              </w:rPr>
            </w:pPr>
          </w:p>
        </w:tc>
        <w:tc>
          <w:tcPr>
            <w:tcW w:w="1160" w:type="dxa"/>
            <w:vAlign w:val="bottom"/>
            <w:gridSpan w:val="3"/>
            <w:vMerge w:val="restart"/>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SOFR</w:t>
            </w:r>
          </w:p>
        </w:tc>
        <w:tc>
          <w:tcPr>
            <w:tcW w:w="100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center"/>
              <w:ind w:right="65"/>
              <w:spacing w:after="0"/>
              <w:rPr>
                <w:sz w:val="20"/>
                <w:szCs w:val="20"/>
                <w:color w:val="auto"/>
              </w:rPr>
            </w:pPr>
            <w:r>
              <w:rPr>
                <w:rFonts w:ascii="Times New Roman" w:cs="Times New Roman" w:eastAsia="Times New Roman" w:hAnsi="Times New Roman"/>
                <w:sz w:val="15"/>
                <w:szCs w:val="15"/>
                <w:color w:val="auto"/>
                <w:w w:val="98"/>
              </w:rPr>
              <w:t>August 17, 2025</w:t>
            </w:r>
          </w:p>
        </w:tc>
        <w:tc>
          <w:tcPr>
            <w:tcW w:w="12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October 19, 2028</w:t>
            </w:r>
          </w:p>
        </w:tc>
        <w:tc>
          <w:tcPr>
            <w:tcW w:w="0" w:type="dxa"/>
            <w:vAlign w:val="bottom"/>
          </w:tcPr>
          <w:p>
            <w:pPr>
              <w:spacing w:after="0"/>
              <w:rPr>
                <w:sz w:val="1"/>
                <w:szCs w:val="1"/>
                <w:color w:val="auto"/>
              </w:rPr>
            </w:pPr>
          </w:p>
        </w:tc>
      </w:tr>
      <w:tr>
        <w:trPr>
          <w:trHeight w:val="104"/>
        </w:trPr>
        <w:tc>
          <w:tcPr>
            <w:tcW w:w="216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notes</w:t>
            </w:r>
          </w:p>
        </w:tc>
        <w:tc>
          <w:tcPr>
            <w:tcW w:w="1340" w:type="dxa"/>
            <w:vAlign w:val="bottom"/>
            <w:vMerge w:val="continue"/>
            <w:shd w:val="clear" w:color="auto" w:fill="CFF0FC"/>
          </w:tcPr>
          <w:p>
            <w:pPr>
              <w:spacing w:after="0"/>
              <w:rPr>
                <w:sz w:val="9"/>
                <w:szCs w:val="9"/>
                <w:color w:val="auto"/>
              </w:rPr>
            </w:pPr>
          </w:p>
        </w:tc>
        <w:tc>
          <w:tcPr>
            <w:tcW w:w="260" w:type="dxa"/>
            <w:vAlign w:val="bottom"/>
            <w:gridSpan w:val="2"/>
            <w:vMerge w:val="continue"/>
            <w:shd w:val="clear" w:color="auto" w:fill="CFF0FC"/>
          </w:tcPr>
          <w:p>
            <w:pPr>
              <w:spacing w:after="0"/>
              <w:rPr>
                <w:sz w:val="9"/>
                <w:szCs w:val="9"/>
                <w:color w:val="auto"/>
              </w:rPr>
            </w:pPr>
          </w:p>
        </w:tc>
        <w:tc>
          <w:tcPr>
            <w:tcW w:w="960" w:type="dxa"/>
            <w:vAlign w:val="bottom"/>
            <w:vMerge w:val="continue"/>
            <w:shd w:val="clear" w:color="auto" w:fill="CFF0FC"/>
          </w:tcPr>
          <w:p>
            <w:pPr>
              <w:spacing w:after="0"/>
              <w:rPr>
                <w:sz w:val="9"/>
                <w:szCs w:val="9"/>
                <w:color w:val="auto"/>
              </w:rPr>
            </w:pPr>
          </w:p>
        </w:tc>
        <w:tc>
          <w:tcPr>
            <w:tcW w:w="1240" w:type="dxa"/>
            <w:vAlign w:val="bottom"/>
            <w:gridSpan w:val="3"/>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60" w:type="dxa"/>
            <w:vAlign w:val="bottom"/>
            <w:gridSpan w:val="3"/>
            <w:vMerge w:val="continue"/>
            <w:shd w:val="clear" w:color="auto" w:fill="CFF0FC"/>
          </w:tcPr>
          <w:p>
            <w:pPr>
              <w:spacing w:after="0"/>
              <w:rPr>
                <w:sz w:val="9"/>
                <w:szCs w:val="9"/>
                <w:color w:val="auto"/>
              </w:rPr>
            </w:pPr>
          </w:p>
        </w:tc>
        <w:tc>
          <w:tcPr>
            <w:tcW w:w="100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160" w:type="dxa"/>
            <w:vAlign w:val="bottom"/>
            <w:gridSpan w:val="2"/>
            <w:vMerge w:val="continue"/>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538"/>
        </w:trPr>
        <w:tc>
          <w:tcPr>
            <w:tcW w:w="7240" w:type="dxa"/>
            <w:vAlign w:val="bottom"/>
            <w:gridSpan w:val="13"/>
          </w:tcPr>
          <w:p>
            <w:pPr>
              <w:spacing w:after="0"/>
              <w:rPr>
                <w:sz w:val="20"/>
                <w:szCs w:val="20"/>
                <w:color w:val="auto"/>
              </w:rPr>
            </w:pPr>
            <w:r>
              <w:rPr>
                <w:rFonts w:ascii="Times New Roman" w:cs="Times New Roman" w:eastAsia="Times New Roman" w:hAnsi="Times New Roman"/>
                <w:sz w:val="15"/>
                <w:szCs w:val="15"/>
                <w:color w:val="auto"/>
              </w:rPr>
              <w:t>The following table details the fair value of the Company's derivative financial instruments ($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6"/>
          </w:tcPr>
          <w:p>
            <w:pPr>
              <w:jc w:val="right"/>
              <w:ind w:right="585"/>
              <w:spacing w:after="0"/>
              <w:rPr>
                <w:sz w:val="20"/>
                <w:szCs w:val="20"/>
                <w:color w:val="auto"/>
              </w:rPr>
            </w:pPr>
            <w:r>
              <w:rPr>
                <w:rFonts w:ascii="Times New Roman" w:cs="Times New Roman" w:eastAsia="Times New Roman" w:hAnsi="Times New Roman"/>
                <w:sz w:val="15"/>
                <w:szCs w:val="15"/>
                <w:b w:val="1"/>
                <w:bCs w:val="1"/>
                <w:color w:val="auto"/>
              </w:rPr>
              <w:t>Fair Value of Derivatives</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60"/>
              <w:spacing w:after="0" w:line="171" w:lineRule="exact"/>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665"/>
              <w:spacing w:after="0" w:line="171" w:lineRule="exact"/>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Interest rate swaps</w:t>
            </w: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center"/>
              <w:ind w:left="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(366)</w:t>
            </w:r>
          </w:p>
        </w:tc>
        <w:tc>
          <w:tcPr>
            <w:tcW w:w="1340" w:type="dxa"/>
            <w:vAlign w:val="bottom"/>
            <w:gridSpan w:val="3"/>
            <w:shd w:val="clear" w:color="auto" w:fill="CFF0FC"/>
          </w:tcPr>
          <w:p>
            <w:pPr>
              <w:jc w:val="right"/>
              <w:ind w:right="88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(354)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560" w:right="2080" w:hanging="5550"/>
        <w:spacing w:after="0"/>
        <w:tabs>
          <w:tab w:leader="none" w:pos="142"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derivative liability balances as of March 31, 2026 and December 31, 2025 are included in accounts payable, accrued expenses and other liabilities.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670560</wp:posOffset>
            </wp:positionV>
            <wp:extent cx="7180580"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color w:val="auto"/>
        </w:rPr>
        <w:t>17. Commitments and Contingencies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Litigation</w:t>
      </w:r>
    </w:p>
    <w:p>
      <w:pPr>
        <w:spacing w:after="0" w:line="9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5"/>
          <w:szCs w:val="15"/>
          <w:color w:val="auto"/>
        </w:rPr>
        <w:t>From time to time, the Company may be involved in various claims and legal actions arising in the ordinary course of business. As of March 31, 2026, the Company was not involved in any material legal proceedings.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18. Subsequent Events</w:t>
      </w:r>
    </w:p>
    <w:p>
      <w:pPr>
        <w:spacing w:after="0" w:line="1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The Company evaluated subsequent events through the issuance date of the financial statements, and determined that except as otherwise disclosed herein there were no additional material subsequent events requiring disclosure.</w:t>
      </w:r>
    </w:p>
    <w:p>
      <w:pPr>
        <w:spacing w:after="0" w:line="4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5"/>
          <w:szCs w:val="15"/>
          <w:color w:val="auto"/>
        </w:rPr>
        <w:t>On April 24, 2026, the Company acquired a 114-unit, 55+ active adult mid-rise rental community located in the Philadelphia Metropolitan Statistical Area for $28.7 million, excluding closing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Subsequent to March 31, 2026 through May 15, 2026, the Company repurchased 1.3 million Class E units from the Adviser for an aggregate amount of $14.5 million.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400050</wp:posOffset>
            </wp:positionV>
            <wp:extent cx="718058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00" w:top="1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99"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14"/>
          <w:szCs w:val="14"/>
          <w:i w:val="1"/>
          <w:iCs w:val="1"/>
          <w:color w:val="auto"/>
        </w:rPr>
        <w:t>References herein to the “Company,” “we,” “us,” or “our” refer to J.P. Morgan Real Estate Income Trust, Inc. together with its consolidated subsidiaries, including J.P. Morgan REIT Operating Partnership, L.P. (the “Operating Partnership”), a Delaware limited partnership of which we are the general partner, unless the context specifically requires otherwise.</w:t>
      </w:r>
    </w:p>
    <w:p>
      <w:pPr>
        <w:spacing w:after="0" w:line="2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unaudited condensed consolidated financial statements and notes thereto appearing elsewhere in this Quarterly Report on Form 10-Q.</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5"/>
          <w:szCs w:val="15"/>
          <w:color w:val="auto"/>
        </w:rPr>
        <w:t>This Quarterly Report on Form 10-Q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plans and objectives relating to future growth and availability of funds, and are based on current expectations that involve numerous risks and uncertainties. Assumptions relating to these statements involve judgments with respect to, among other things, future economic, competitive and market conditions and future business decisions, all of which are difficult or impossible to accurately predict and many of which are beyond our control. Such forward-looking statements are inherently uncertain and there are or may be important factors that could cause actual outcomes or results to differ materially from those indicated in such statements. We believe these factors also include those described under the section entitled “Item 1A. Risk Factors” in our Annual Report on Form 10-K for the year ended December 31, 2025, which is accessible on the SEC’s website at www.sec.gov. These factors should not be construed as exhaustive and should be read in conjunction with the other cautionary statements that are included in this document (or our prospectus and other filings). Except as otherwise required by federal securities laws, we undertake no obligation to publicly update or revise any forward-looking statements, whether as a result of new information, future developments or otherwise.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We are a Maryland corporation formed on November 5, 2021. We were formed to invest primarily in stabilized, income-generating real properties. We are an externally advised, perpetual-life REIT formed to pursue the following investment objectives:</w:t>
      </w:r>
    </w:p>
    <w:p>
      <w:pPr>
        <w:spacing w:after="0" w:line="49" w:lineRule="exact"/>
        <w:rPr>
          <w:sz w:val="20"/>
          <w:szCs w:val="20"/>
          <w:color w:val="auto"/>
        </w:rPr>
      </w:pPr>
    </w:p>
    <w:p>
      <w:pPr>
        <w:ind w:left="1040" w:hanging="520"/>
        <w:spacing w:after="0"/>
        <w:tabs>
          <w:tab w:leader="none" w:pos="10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attractive current income in the form of regular, stable cash distributions;</w:t>
      </w:r>
    </w:p>
    <w:p>
      <w:pPr>
        <w:spacing w:after="0" w:line="96"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preserve and protect invested capital;</w:t>
      </w:r>
    </w:p>
    <w:p>
      <w:pPr>
        <w:spacing w:after="0" w:line="96"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 appreciation in NAV from proactive investment management and asset management; and</w:t>
      </w:r>
    </w:p>
    <w:p>
      <w:pPr>
        <w:spacing w:after="0" w:line="96"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an investment alternative for stockholders seeking to allocate a portion of their long-term investment portfolios to real estate.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cannot assure you that we will achieve our investment objectives. In particular, we note that our NAV may be subject to volatility related to changes in the values of our assets.</w:t>
      </w:r>
    </w:p>
    <w:p>
      <w:pPr>
        <w:spacing w:after="0" w:line="9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auto"/>
        </w:rPr>
        <w:t>We currently qualify, and intend to continue to qualify, as a REIT for federal income tax purposes. We own all or substantially all of our assets through the Operating Partnership, of which we are the sole general partner.</w:t>
      </w:r>
    </w:p>
    <w:p>
      <w:pPr>
        <w:spacing w:after="0" w:line="4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Our board of directors at all times has ultimate oversight and policymaking authority over us, including responsibility for governance, financial controls, compliance and disclosure. Pursuant to the Advisory Agreement, however, we have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initial public offering of our common stock commenced on July 22, 2022. We acquired our first investment on September 2, 2022.</w:t>
      </w:r>
    </w:p>
    <w:p>
      <w:pPr>
        <w:spacing w:after="0" w:line="9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On July 8, 2025, we filed a Registration Statement on Form S-11 (File No. 333-288565) for our second public offering to register up to $4.8 billion of shares of common stock, consisting of up to $3.8 billion in shares in its primary offering and up to $1.0 billion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7180580"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31" w:name="page32"/>
    <w:bookmarkEnd w:id="31"/>
    <w:p>
      <w:pPr>
        <w:ind w:right="100"/>
        <w:spacing w:after="0" w:line="278" w:lineRule="auto"/>
        <w:rPr>
          <w:sz w:val="20"/>
          <w:szCs w:val="20"/>
          <w:color w:val="auto"/>
        </w:rPr>
      </w:pPr>
      <w:r>
        <w:rPr>
          <w:rFonts w:ascii="Times New Roman" w:cs="Times New Roman" w:eastAsia="Times New Roman" w:hAnsi="Times New Roman"/>
          <w:sz w:val="15"/>
          <w:szCs w:val="15"/>
          <w:color w:val="auto"/>
        </w:rPr>
        <w:t>shares pursuant to our distribution reinvestment plan. On February 4, 2026, we commenced our second public offering and our initial public offering automatically terminated. In addition to our public offerings, we are conducting several private offerings.</w:t>
      </w:r>
    </w:p>
    <w:p>
      <w:pPr>
        <w:spacing w:after="0" w:line="49"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5"/>
          <w:szCs w:val="15"/>
          <w:color w:val="auto"/>
        </w:rPr>
        <w:t>We intend to contribute the net proceeds from the Offerings which are not used or retained to pay the fees and expenses attributable to our operations to the Operating Partnership. The Operating Partnership will use the net proceeds received from us to make investments in accordance with our investment strategy and policies.</w:t>
      </w:r>
    </w:p>
    <w:p>
      <w:pPr>
        <w:spacing w:after="0" w:line="49"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5"/>
          <w:szCs w:val="15"/>
          <w:color w:val="auto"/>
        </w:rPr>
        <w:t>The number and type of properties or real estate-related and other investments that we acquire will depend upon real estate market conditions, the amount of proceeds we raise in the Offerings and other circumstances existing at the time we are acquiring such assets.</w:t>
      </w:r>
    </w:p>
    <w:p>
      <w:pPr>
        <w:spacing w:after="0" w:line="49"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4"/>
          <w:szCs w:val="14"/>
          <w:color w:val="auto"/>
        </w:rPr>
        <w:t>We are not aware of any material trends or uncertainties, favorable or unfavorable, other than national economic conditions affecting real estate generally, that may be reasonably anticipated to have a material impact on either capital resources or the revenue or income to be derived from acquiring properties, real estate debt and real estate-related or other securities.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Q1 2026 Highlights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raising and distributions</w:t>
      </w:r>
    </w:p>
    <w:p>
      <w:pPr>
        <w:spacing w:after="0" w:line="99" w:lineRule="exact"/>
        <w:rPr>
          <w:sz w:val="20"/>
          <w:szCs w:val="20"/>
          <w:color w:val="auto"/>
        </w:rPr>
      </w:pPr>
    </w:p>
    <w:p>
      <w:pPr>
        <w:ind w:left="1040" w:right="420" w:hanging="520"/>
        <w:spacing w:after="0" w:line="278" w:lineRule="auto"/>
        <w:tabs>
          <w:tab w:leader="none" w:pos="10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Raised net proceeds of $52.6 million from the sale of shares of our common stock, including shares issued under our distribution reinvestment plan, during the three months ended March 31, 2026.</w:t>
      </w:r>
    </w:p>
    <w:p>
      <w:pPr>
        <w:spacing w:after="0" w:line="49"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Declared distributions totaling $10.5 million for the three months ended March 31, 2026, including $0.4 million related to Class E units owned by the Adviser.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details of the average annualized distribution rates and total returns as of March 31, 2026 are shown in the following table:</w:t>
      </w:r>
    </w:p>
    <w:p>
      <w:pPr>
        <w:sectPr>
          <w:pgSz w:w="11900" w:h="16838" w:orient="portrait"/>
          <w:cols w:equalWidth="0" w:num="1">
            <w:col w:w="11280"/>
          </w:cols>
          <w:pgMar w:left="300" w:top="933" w:right="31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Average annualized distribution rate</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-99695</wp:posOffset>
            </wp:positionV>
            <wp:extent cx="7155180" cy="1143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5"/>
          <w:szCs w:val="15"/>
          <w:color w:val="auto"/>
        </w:rPr>
        <w:t>Year-to-date total return, without upfront selling commissions</w:t>
      </w:r>
      <w:r>
        <w:rPr>
          <w:rFonts w:ascii="Times New Roman" w:cs="Times New Roman" w:eastAsia="Times New Roman" w:hAnsi="Times New Roman"/>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155180" cy="1143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88" w:lineRule="auto"/>
        <w:rPr>
          <w:sz w:val="20"/>
          <w:szCs w:val="20"/>
          <w:color w:val="auto"/>
        </w:rPr>
      </w:pPr>
      <w:r>
        <w:rPr>
          <w:rFonts w:ascii="Times New Roman" w:cs="Times New Roman" w:eastAsia="Times New Roman" w:hAnsi="Times New Roman"/>
          <w:sz w:val="15"/>
          <w:szCs w:val="15"/>
          <w:color w:val="auto"/>
        </w:rPr>
        <w:t>Year-to-date total return, assuming maximum upfront selling commissions</w:t>
      </w:r>
      <w:r>
        <w:rPr>
          <w:rFonts w:ascii="Times New Roman" w:cs="Times New Roman" w:eastAsia="Times New Roman" w:hAnsi="Times New Roman"/>
          <w:sz w:val="20"/>
          <w:szCs w:val="20"/>
          <w:color w:val="auto"/>
          <w:vertAlign w:val="superscript"/>
        </w:rPr>
        <w:t>(2)</w:t>
      </w:r>
    </w:p>
    <w:p>
      <w:pPr>
        <w:spacing w:after="0" w:line="187" w:lineRule="auto"/>
        <w:rPr>
          <w:sz w:val="20"/>
          <w:szCs w:val="20"/>
          <w:color w:val="auto"/>
        </w:rPr>
      </w:pPr>
      <w:r>
        <w:rPr>
          <w:rFonts w:ascii="Times New Roman" w:cs="Times New Roman" w:eastAsia="Times New Roman" w:hAnsi="Times New Roman"/>
          <w:sz w:val="15"/>
          <w:szCs w:val="15"/>
          <w:color w:val="auto"/>
        </w:rPr>
        <w:t>Inception-to-date total return, without upfront selling commissions</w:t>
      </w:r>
      <w:r>
        <w:rPr>
          <w:rFonts w:ascii="Times New Roman" w:cs="Times New Roman" w:eastAsia="Times New Roman" w:hAnsi="Times New Roman"/>
          <w:sz w:val="20"/>
          <w:szCs w:val="20"/>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7155180" cy="114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96" w:lineRule="auto"/>
        <w:rPr>
          <w:sz w:val="20"/>
          <w:szCs w:val="20"/>
          <w:color w:val="auto"/>
        </w:rPr>
      </w:pPr>
      <w:r>
        <w:rPr>
          <w:rFonts w:ascii="Times New Roman" w:cs="Times New Roman" w:eastAsia="Times New Roman" w:hAnsi="Times New Roman"/>
          <w:sz w:val="14"/>
          <w:szCs w:val="14"/>
          <w:color w:val="auto"/>
        </w:rPr>
        <w:t>Inception-to-date total return, assuming maximum upfront selling commissions</w:t>
      </w:r>
      <w:r>
        <w:rPr>
          <w:rFonts w:ascii="Times New Roman" w:cs="Times New Roman" w:eastAsia="Times New Roman" w:hAnsi="Times New Roman"/>
          <w:sz w:val="19"/>
          <w:szCs w:val="19"/>
          <w:color w:val="auto"/>
          <w:vertAlign w:val="superscript"/>
        </w:rPr>
        <w:t>(2) (3)</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 D</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Class I</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Class E</w:t>
            </w: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Class Y</w:t>
            </w:r>
          </w:p>
        </w:tc>
      </w:tr>
      <w:tr>
        <w:trPr>
          <w:trHeight w:val="157"/>
        </w:trPr>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color w:val="auto"/>
                <w:w w:val="97"/>
              </w:rPr>
              <w:t>4.80%</w:t>
            </w:r>
          </w:p>
        </w:tc>
        <w:tc>
          <w:tcPr>
            <w:tcW w:w="18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color w:val="auto"/>
                <w:w w:val="97"/>
              </w:rPr>
              <w:t>4.77%</w:t>
            </w:r>
          </w:p>
        </w:tc>
        <w:tc>
          <w:tcPr>
            <w:tcW w:w="180" w:type="dxa"/>
            <w:vAlign w:val="bottom"/>
          </w:tcPr>
          <w:p>
            <w:pPr>
              <w:spacing w:after="0"/>
              <w:rPr>
                <w:sz w:val="13"/>
                <w:szCs w:val="13"/>
                <w:color w:val="auto"/>
              </w:rPr>
            </w:pPr>
          </w:p>
        </w:tc>
        <w:tc>
          <w:tcPr>
            <w:tcW w:w="1020" w:type="dxa"/>
            <w:vAlign w:val="bottom"/>
          </w:tcPr>
          <w:p>
            <w:pPr>
              <w:jc w:val="center"/>
              <w:ind w:right="25"/>
              <w:spacing w:after="0" w:line="157" w:lineRule="exact"/>
              <w:rPr>
                <w:sz w:val="20"/>
                <w:szCs w:val="20"/>
                <w:color w:val="auto"/>
              </w:rPr>
            </w:pPr>
            <w:r>
              <w:rPr>
                <w:rFonts w:ascii="Times New Roman" w:cs="Times New Roman" w:eastAsia="Times New Roman" w:hAnsi="Times New Roman"/>
                <w:sz w:val="15"/>
                <w:szCs w:val="15"/>
                <w:color w:val="auto"/>
              </w:rPr>
              <w:t>4.43%</w:t>
            </w:r>
          </w:p>
        </w:tc>
        <w:tc>
          <w:tcPr>
            <w:tcW w:w="1020" w:type="dxa"/>
            <w:vAlign w:val="bottom"/>
          </w:tcPr>
          <w:p>
            <w:pPr>
              <w:jc w:val="center"/>
              <w:ind w:left="5"/>
              <w:spacing w:after="0" w:line="157" w:lineRule="exact"/>
              <w:rPr>
                <w:sz w:val="20"/>
                <w:szCs w:val="20"/>
                <w:color w:val="auto"/>
              </w:rPr>
            </w:pPr>
            <w:r>
              <w:rPr>
                <w:rFonts w:ascii="Times New Roman" w:cs="Times New Roman" w:eastAsia="Times New Roman" w:hAnsi="Times New Roman"/>
                <w:sz w:val="15"/>
                <w:szCs w:val="15"/>
                <w:color w:val="auto"/>
                <w:w w:val="97"/>
              </w:rPr>
              <w:t>3.64%</w:t>
            </w:r>
          </w:p>
        </w:tc>
      </w:tr>
      <w:tr>
        <w:trPr>
          <w:trHeight w:val="180"/>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1.57%</w:t>
            </w: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7"/>
              </w:rPr>
              <w:t>1.57%</w:t>
            </w:r>
          </w:p>
        </w:tc>
        <w:tc>
          <w:tcPr>
            <w:tcW w:w="120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2.04%</w:t>
            </w:r>
          </w:p>
        </w:tc>
        <w:tc>
          <w:tcPr>
            <w:tcW w:w="10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w w:val="97"/>
              </w:rPr>
              <w:t>1.59%</w:t>
            </w:r>
          </w:p>
        </w:tc>
      </w:tr>
      <w:tr>
        <w:trPr>
          <w:trHeight w:val="180"/>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0.07%</w:t>
            </w: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7"/>
              </w:rPr>
              <w:t>1.57%</w:t>
            </w:r>
          </w:p>
        </w:tc>
        <w:tc>
          <w:tcPr>
            <w:tcW w:w="120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2.04%</w:t>
            </w:r>
          </w:p>
        </w:tc>
        <w:tc>
          <w:tcPr>
            <w:tcW w:w="1020" w:type="dxa"/>
            <w:vAlign w:val="bottom"/>
          </w:tcPr>
          <w:p>
            <w:pPr>
              <w:jc w:val="center"/>
              <w:ind w:left="25"/>
              <w:spacing w:after="0"/>
              <w:rPr>
                <w:sz w:val="20"/>
                <w:szCs w:val="20"/>
                <w:color w:val="auto"/>
              </w:rPr>
            </w:pPr>
            <w:r>
              <w:rPr>
                <w:rFonts w:ascii="Times New Roman" w:cs="Times New Roman" w:eastAsia="Times New Roman" w:hAnsi="Times New Roman"/>
                <w:sz w:val="15"/>
                <w:szCs w:val="15"/>
                <w:color w:val="auto"/>
              </w:rPr>
              <w:t>-1.84%</w:t>
            </w:r>
          </w:p>
        </w:tc>
      </w:tr>
      <w:tr>
        <w:trPr>
          <w:trHeight w:val="180"/>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6.14%</w:t>
            </w: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7"/>
              </w:rPr>
              <w:t>6.19%</w:t>
            </w:r>
          </w:p>
        </w:tc>
        <w:tc>
          <w:tcPr>
            <w:tcW w:w="120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8.12%</w:t>
            </w:r>
          </w:p>
        </w:tc>
        <w:tc>
          <w:tcPr>
            <w:tcW w:w="10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w w:val="97"/>
              </w:rPr>
              <w:t>6.01%</w:t>
            </w:r>
          </w:p>
        </w:tc>
      </w:tr>
      <w:tr>
        <w:trPr>
          <w:trHeight w:val="193"/>
        </w:trPr>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5.65%</w:t>
            </w:r>
          </w:p>
        </w:tc>
        <w:tc>
          <w:tcPr>
            <w:tcW w:w="114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7"/>
              </w:rPr>
              <w:t>6.19%</w:t>
            </w:r>
          </w:p>
        </w:tc>
        <w:tc>
          <w:tcPr>
            <w:tcW w:w="1200" w:type="dxa"/>
            <w:vAlign w:val="bottom"/>
            <w:gridSpan w:val="2"/>
          </w:tcPr>
          <w:p>
            <w:pPr>
              <w:jc w:val="center"/>
              <w:ind w:left="5"/>
              <w:spacing w:after="0"/>
              <w:rPr>
                <w:sz w:val="20"/>
                <w:szCs w:val="20"/>
                <w:color w:val="auto"/>
              </w:rPr>
            </w:pPr>
            <w:r>
              <w:rPr>
                <w:rFonts w:ascii="Times New Roman" w:cs="Times New Roman" w:eastAsia="Times New Roman" w:hAnsi="Times New Roman"/>
                <w:sz w:val="15"/>
                <w:szCs w:val="15"/>
                <w:color w:val="auto"/>
              </w:rPr>
              <w:t>8.12%</w:t>
            </w:r>
          </w:p>
        </w:tc>
        <w:tc>
          <w:tcPr>
            <w:tcW w:w="10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w w:val="97"/>
              </w:rPr>
              <w:t>4.40%</w:t>
            </w:r>
          </w:p>
        </w:tc>
      </w:tr>
    </w:tbl>
    <w:p>
      <w:pPr>
        <w:spacing w:after="0" w:line="1" w:lineRule="exact"/>
        <w:rPr>
          <w:sz w:val="20"/>
          <w:szCs w:val="20"/>
          <w:color w:val="auto"/>
        </w:rPr>
      </w:pPr>
    </w:p>
    <w:p>
      <w:pPr>
        <w:sectPr>
          <w:pgSz w:w="11900" w:h="16838" w:orient="portrait"/>
          <w:cols w:equalWidth="0" w:num="2">
            <w:col w:w="6240" w:space="720"/>
            <w:col w:w="4320"/>
          </w:cols>
          <w:pgMar w:left="300" w:top="933" w:right="319" w:bottom="1440" w:gutter="0" w:footer="0" w:header="0"/>
          <w:type w:val="continuous"/>
        </w:sectPr>
      </w:pPr>
    </w:p>
    <w:p>
      <w:pPr>
        <w:ind w:left="160" w:hanging="150"/>
        <w:spacing w:after="0" w:line="208"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annualized distribution rate is calculated as the current month's distribution annualized and divided by the prior month's NAV, which is inclusive of all fees and expenses.</w:t>
      </w:r>
    </w:p>
    <w:p>
      <w:pPr>
        <w:spacing w:after="0" w:line="14" w:lineRule="exact"/>
        <w:rPr>
          <w:rFonts w:ascii="Times New Roman" w:cs="Times New Roman" w:eastAsia="Times New Roman" w:hAnsi="Times New Roman"/>
          <w:sz w:val="19"/>
          <w:szCs w:val="19"/>
          <w:color w:val="auto"/>
          <w:vertAlign w:val="superscript"/>
        </w:rPr>
      </w:pPr>
    </w:p>
    <w:p>
      <w:pPr>
        <w:ind w:right="40" w:firstLine="10"/>
        <w:spacing w:after="0" w:line="266" w:lineRule="auto"/>
        <w:tabs>
          <w:tab w:leader="none" w:pos="142"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return is calculated as the change in NAV per share during the respective period plus any distributions per share declared in the period and assumes any distributions are reinvested in accordance with our distribution reinvestment plan. Inception-to-date total return is annualized.</w:t>
      </w:r>
    </w:p>
    <w:p>
      <w:pPr>
        <w:ind w:left="160" w:hanging="150"/>
        <w:spacing w:after="0" w:line="209" w:lineRule="auto"/>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inception date was January 3, 2023 for Class D shares, November 1, 2023 for Class I shares, August 1, 2022 for Class E shares and January 1, 2024 for Class Y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Investing</w:t>
      </w:r>
    </w:p>
    <w:p>
      <w:pPr>
        <w:spacing w:after="0" w:line="99" w:lineRule="exact"/>
        <w:rPr>
          <w:sz w:val="20"/>
          <w:szCs w:val="20"/>
          <w:color w:val="auto"/>
        </w:rPr>
      </w:pPr>
    </w:p>
    <w:p>
      <w:pPr>
        <w:ind w:left="1040" w:hanging="520"/>
        <w:spacing w:after="0"/>
        <w:tabs>
          <w:tab w:leader="none" w:pos="1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Originated an $84.0 million real estate debt investment, of which $80.0 million was funded at origination.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Financing</w:t>
      </w:r>
    </w:p>
    <w:p>
      <w:pPr>
        <w:spacing w:after="0" w:line="99" w:lineRule="exact"/>
        <w:rPr>
          <w:sz w:val="20"/>
          <w:szCs w:val="20"/>
          <w:color w:val="auto"/>
        </w:rPr>
      </w:pPr>
    </w:p>
    <w:p>
      <w:pPr>
        <w:ind w:left="1040" w:hanging="520"/>
        <w:spacing w:after="0"/>
        <w:tabs>
          <w:tab w:leader="none" w:pos="1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Borrowed $60.0 million from the Repurchase Facility to finance the investment in real estate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7180580"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5"/>
          <w:szCs w:val="15"/>
          <w:i w:val="1"/>
          <w:iCs w:val="1"/>
          <w:color w:val="auto"/>
        </w:rPr>
        <w:t>Portfolio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chart outlines the percentage of our assets across investments in real estate, real estate debt and real estate-related and other securities based on fair value by category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2094230</wp:posOffset>
            </wp:positionH>
            <wp:positionV relativeFrom="paragraph">
              <wp:posOffset>62230</wp:posOffset>
            </wp:positionV>
            <wp:extent cx="2978785" cy="20313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7878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10"/>
        <w:spacing w:after="0" w:line="381" w:lineRule="auto"/>
        <w:tabs>
          <w:tab w:leader="none" w:pos="154"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 estate includes our direct property investments; real estate debt includes commercial mortgage loans; and real estate-related and other securities consists of our CMBS investments. The following charts further describe the composition of our investments in real estate based on estimated 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-19050</wp:posOffset>
            </wp:positionV>
            <wp:extent cx="3977005" cy="2138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77005" cy="213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Investments in real estate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31, 2026, we owned 60 real estate properties which are summarized in the following table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685165</wp:posOffset>
            </wp:positionV>
            <wp:extent cx="718058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20"/>
          </w:cols>
          <w:pgMar w:left="300" w:top="931"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0"/>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Sq. Ft. (in</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4"/>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5"/>
              <w:spacing w:after="0" w:line="164"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thousands)/</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265"/>
              <w:spacing w:after="0" w:line="164" w:lineRule="exact"/>
              <w:rPr>
                <w:sz w:val="20"/>
                <w:szCs w:val="20"/>
                <w:color w:val="auto"/>
              </w:rPr>
            </w:pPr>
            <w:r>
              <w:rPr>
                <w:rFonts w:ascii="Times New Roman" w:cs="Times New Roman" w:eastAsia="Times New Roman" w:hAnsi="Times New Roman"/>
                <w:sz w:val="15"/>
                <w:szCs w:val="15"/>
                <w:b w:val="1"/>
                <w:bCs w:val="1"/>
                <w:color w:val="auto"/>
              </w:rPr>
              <w:t>Gross Asset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5"/>
              </w:rPr>
              <w:t>% of</w:t>
            </w:r>
          </w:p>
        </w:tc>
      </w:tr>
      <w:tr>
        <w:trPr>
          <w:trHeight w:val="214"/>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Property type</w:t>
            </w:r>
          </w:p>
        </w:tc>
        <w:tc>
          <w:tcPr>
            <w:tcW w:w="140" w:type="dxa"/>
            <w:vAlign w:val="bottom"/>
          </w:tcPr>
          <w:p>
            <w:pPr>
              <w:spacing w:after="0"/>
              <w:rPr>
                <w:sz w:val="18"/>
                <w:szCs w:val="18"/>
                <w:color w:val="auto"/>
              </w:rPr>
            </w:pPr>
          </w:p>
        </w:tc>
        <w:tc>
          <w:tcPr>
            <w:tcW w:w="10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Properties</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w w:val="95"/>
              </w:rPr>
              <w:t>Number of Units</w:t>
            </w:r>
            <w:r>
              <w:rPr>
                <w:rFonts w:ascii="Times New Roman" w:cs="Times New Roman" w:eastAsia="Times New Roman" w:hAnsi="Times New Roman"/>
                <w:sz w:val="20"/>
                <w:szCs w:val="20"/>
                <w:b w:val="1"/>
                <w:bCs w:val="1"/>
                <w:color w:val="auto"/>
                <w:w w:val="95"/>
                <w:vertAlign w:val="superscript"/>
              </w:rPr>
              <w:t>(1)</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w w:val="93"/>
              </w:rPr>
              <w:t>Occupancy Rate</w:t>
            </w:r>
            <w:r>
              <w:rPr>
                <w:rFonts w:ascii="Times New Roman" w:cs="Times New Roman" w:eastAsia="Times New Roman" w:hAnsi="Times New Roman"/>
                <w:sz w:val="20"/>
                <w:szCs w:val="20"/>
                <w:b w:val="1"/>
                <w:bCs w:val="1"/>
                <w:color w:val="auto"/>
                <w:w w:val="93"/>
                <w:vertAlign w:val="superscript"/>
              </w:rPr>
              <w:t>(1)(2)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85"/>
              <w:spacing w:after="0" w:line="213" w:lineRule="exact"/>
              <w:rPr>
                <w:sz w:val="20"/>
                <w:szCs w:val="20"/>
                <w:color w:val="auto"/>
              </w:rPr>
            </w:pPr>
            <w:r>
              <w:rPr>
                <w:rFonts w:ascii="Times New Roman" w:cs="Times New Roman" w:eastAsia="Times New Roman" w:hAnsi="Times New Roman"/>
                <w:sz w:val="15"/>
                <w:szCs w:val="15"/>
                <w:b w:val="1"/>
                <w:bCs w:val="1"/>
                <w:color w:val="auto"/>
              </w:rPr>
              <w:t>Value</w:t>
            </w:r>
            <w:r>
              <w:rPr>
                <w:rFonts w:ascii="Times New Roman" w:cs="Times New Roman" w:eastAsia="Times New Roman" w:hAnsi="Times New Roman"/>
                <w:sz w:val="20"/>
                <w:szCs w:val="20"/>
                <w:b w:val="1"/>
                <w:bCs w:val="1"/>
                <w:color w:val="auto"/>
                <w:vertAlign w:val="superscript"/>
              </w:rPr>
              <w:t>(3)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5"/>
              <w:spacing w:after="0" w:line="213" w:lineRule="exact"/>
              <w:rPr>
                <w:sz w:val="20"/>
                <w:szCs w:val="20"/>
                <w:color w:val="auto"/>
              </w:rPr>
            </w:pPr>
            <w:r>
              <w:rPr>
                <w:rFonts w:ascii="Times New Roman" w:cs="Times New Roman" w:eastAsia="Times New Roman" w:hAnsi="Times New Roman"/>
                <w:sz w:val="15"/>
                <w:szCs w:val="15"/>
                <w:b w:val="1"/>
                <w:bCs w:val="1"/>
                <w:color w:val="auto"/>
              </w:rPr>
              <w:t>Revenue</w:t>
            </w:r>
            <w:r>
              <w:rPr>
                <w:rFonts w:ascii="Times New Roman" w:cs="Times New Roman" w:eastAsia="Times New Roman" w:hAnsi="Times New Roman"/>
                <w:sz w:val="20"/>
                <w:szCs w:val="20"/>
                <w:b w:val="1"/>
                <w:bCs w:val="1"/>
                <w:color w:val="auto"/>
                <w:vertAlign w:val="superscript"/>
              </w:rPr>
              <w:t>(4)</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Revenue</w:t>
            </w:r>
          </w:p>
        </w:tc>
      </w:tr>
      <w:tr>
        <w:trPr>
          <w:trHeight w:val="171"/>
        </w:trPr>
        <w:tc>
          <w:tcPr>
            <w:tcW w:w="25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Multifamily</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FF0FC"/>
          </w:tcPr>
          <w:p>
            <w:pPr>
              <w:spacing w:after="0"/>
              <w:rPr>
                <w:sz w:val="14"/>
                <w:szCs w:val="14"/>
                <w:color w:val="auto"/>
              </w:rPr>
            </w:pPr>
          </w:p>
        </w:tc>
        <w:tc>
          <w:tcPr>
            <w:tcW w:w="1300" w:type="dxa"/>
            <w:vAlign w:val="bottom"/>
            <w:shd w:val="clear" w:color="auto" w:fill="CFF0FC"/>
          </w:tcPr>
          <w:p>
            <w:pPr>
              <w:jc w:val="center"/>
              <w:spacing w:after="0" w:line="171" w:lineRule="exact"/>
              <w:rPr>
                <w:sz w:val="20"/>
                <w:szCs w:val="20"/>
                <w:color w:val="auto"/>
              </w:rPr>
            </w:pPr>
            <w:r>
              <w:rPr>
                <w:rFonts w:ascii="Times New Roman" w:cs="Times New Roman" w:eastAsia="Times New Roman" w:hAnsi="Times New Roman"/>
                <w:sz w:val="15"/>
                <w:szCs w:val="15"/>
                <w:color w:val="auto"/>
                <w:w w:val="98"/>
              </w:rPr>
              <w:t>2,973 units</w:t>
            </w:r>
          </w:p>
        </w:tc>
        <w:tc>
          <w:tcPr>
            <w:tcW w:w="1460" w:type="dxa"/>
            <w:vAlign w:val="bottom"/>
            <w:gridSpan w:val="2"/>
            <w:shd w:val="clear" w:color="auto" w:fill="CFF0FC"/>
          </w:tcPr>
          <w:p>
            <w:pPr>
              <w:jc w:val="center"/>
              <w:ind w:left="85"/>
              <w:spacing w:after="0" w:line="171" w:lineRule="exact"/>
              <w:rPr>
                <w:sz w:val="20"/>
                <w:szCs w:val="20"/>
                <w:color w:val="auto"/>
              </w:rPr>
            </w:pPr>
            <w:r>
              <w:rPr>
                <w:rFonts w:ascii="Times New Roman" w:cs="Times New Roman" w:eastAsia="Times New Roman" w:hAnsi="Times New Roman"/>
                <w:sz w:val="15"/>
                <w:szCs w:val="15"/>
                <w:color w:val="auto"/>
                <w:w w:val="94"/>
              </w:rPr>
              <w:t>90%</w:t>
            </w:r>
          </w:p>
        </w:tc>
        <w:tc>
          <w:tcPr>
            <w:tcW w:w="3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705,091</w:t>
            </w:r>
          </w:p>
        </w:tc>
        <w:tc>
          <w:tcPr>
            <w:tcW w:w="320" w:type="dxa"/>
            <w:vAlign w:val="bottom"/>
            <w:gridSpan w:val="2"/>
            <w:shd w:val="clear" w:color="auto" w:fill="CFF0FC"/>
          </w:tcPr>
          <w:p>
            <w:pPr>
              <w:jc w:val="right"/>
              <w:ind w:right="1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15,808</w:t>
            </w:r>
          </w:p>
        </w:tc>
        <w:tc>
          <w:tcPr>
            <w:tcW w:w="1420" w:type="dxa"/>
            <w:vAlign w:val="bottom"/>
            <w:gridSpan w:val="2"/>
            <w:shd w:val="clear" w:color="auto" w:fill="CFF0FC"/>
          </w:tcPr>
          <w:p>
            <w:pPr>
              <w:jc w:val="center"/>
              <w:ind w:left="65"/>
              <w:spacing w:after="0" w:line="171" w:lineRule="exact"/>
              <w:rPr>
                <w:sz w:val="20"/>
                <w:szCs w:val="20"/>
                <w:color w:val="auto"/>
              </w:rPr>
            </w:pPr>
            <w:r>
              <w:rPr>
                <w:rFonts w:ascii="Times New Roman" w:cs="Times New Roman" w:eastAsia="Times New Roman" w:hAnsi="Times New Roman"/>
                <w:sz w:val="15"/>
                <w:szCs w:val="15"/>
                <w:color w:val="auto"/>
              </w:rPr>
              <w:t>53%</w:t>
            </w: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Single-family rental</w:t>
            </w:r>
            <w:r>
              <w:rPr>
                <w:rFonts w:ascii="Times New Roman" w:cs="Times New Roman" w:eastAsia="Times New Roman" w:hAnsi="Times New Roman"/>
                <w:sz w:val="20"/>
                <w:szCs w:val="20"/>
                <w:color w:val="auto"/>
                <w:vertAlign w:val="superscript"/>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126 units</w:t>
            </w:r>
          </w:p>
        </w:tc>
        <w:tc>
          <w:tcPr>
            <w:tcW w:w="146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4"/>
              </w:rPr>
              <w:t>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46,802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1,019</w:t>
            </w:r>
          </w:p>
        </w:tc>
        <w:tc>
          <w:tcPr>
            <w:tcW w:w="1420" w:type="dxa"/>
            <w:vAlign w:val="bottom"/>
            <w:gridSpan w:val="2"/>
          </w:tcPr>
          <w:p>
            <w:pPr>
              <w:jc w:val="center"/>
              <w:ind w:left="65"/>
              <w:spacing w:after="0"/>
              <w:rPr>
                <w:sz w:val="20"/>
                <w:szCs w:val="20"/>
                <w:color w:val="auto"/>
              </w:rPr>
            </w:pPr>
            <w:r>
              <w:rPr>
                <w:rFonts w:ascii="Times New Roman" w:cs="Times New Roman" w:eastAsia="Times New Roman" w:hAnsi="Times New Roman"/>
                <w:sz w:val="15"/>
                <w:szCs w:val="15"/>
                <w:color w:val="auto"/>
                <w:w w:val="99"/>
              </w:rPr>
              <w:t>4%</w:t>
            </w: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Industrial</w:t>
            </w:r>
            <w:r>
              <w:rPr>
                <w:rFonts w:ascii="Times New Roman" w:cs="Times New Roman" w:eastAsia="Times New Roman" w:hAnsi="Times New Roman"/>
                <w:sz w:val="20"/>
                <w:szCs w:val="20"/>
                <w:color w:val="auto"/>
                <w:vertAlign w:val="superscript"/>
              </w:rPr>
              <w:t>(6)</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40</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5,664 sq. ft.</w:t>
            </w:r>
          </w:p>
        </w:tc>
        <w:tc>
          <w:tcPr>
            <w:tcW w:w="1460" w:type="dxa"/>
            <w:vAlign w:val="bottom"/>
            <w:gridSpan w:val="2"/>
            <w:shd w:val="clear" w:color="auto" w:fill="CFF0FC"/>
          </w:tcPr>
          <w:p>
            <w:pPr>
              <w:jc w:val="center"/>
              <w:ind w:left="85"/>
              <w:spacing w:after="0"/>
              <w:rPr>
                <w:sz w:val="20"/>
                <w:szCs w:val="20"/>
                <w:color w:val="auto"/>
              </w:rPr>
            </w:pPr>
            <w:r>
              <w:rPr>
                <w:rFonts w:ascii="Times New Roman" w:cs="Times New Roman" w:eastAsia="Times New Roman" w:hAnsi="Times New Roman"/>
                <w:sz w:val="15"/>
                <w:szCs w:val="15"/>
                <w:color w:val="auto"/>
                <w:w w:val="94"/>
              </w:rPr>
              <w:t>99%</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467,017</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9,607</w:t>
            </w:r>
          </w:p>
        </w:tc>
        <w:tc>
          <w:tcPr>
            <w:tcW w:w="1420" w:type="dxa"/>
            <w:vAlign w:val="bottom"/>
            <w:gridSpan w:val="2"/>
            <w:shd w:val="clear" w:color="auto" w:fill="CFF0FC"/>
          </w:tcPr>
          <w:p>
            <w:pPr>
              <w:jc w:val="center"/>
              <w:ind w:left="65"/>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Retail</w:t>
            </w:r>
            <w:r>
              <w:rPr>
                <w:rFonts w:ascii="Times New Roman" w:cs="Times New Roman" w:eastAsia="Times New Roman" w:hAnsi="Times New Roman"/>
                <w:sz w:val="20"/>
                <w:szCs w:val="20"/>
                <w:color w:val="auto"/>
                <w:vertAlign w:val="superscript"/>
              </w:rPr>
              <w:t>(7)</w:t>
            </w:r>
          </w:p>
        </w:tc>
        <w:tc>
          <w:tcPr>
            <w:tcW w:w="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236 sq. ft.</w:t>
            </w:r>
          </w:p>
        </w:tc>
        <w:tc>
          <w:tcPr>
            <w:tcW w:w="1460" w:type="dxa"/>
            <w:vAlign w:val="bottom"/>
            <w:gridSpan w:val="2"/>
          </w:tcPr>
          <w:p>
            <w:pPr>
              <w:jc w:val="center"/>
              <w:ind w:left="85"/>
              <w:spacing w:after="0"/>
              <w:rPr>
                <w:sz w:val="20"/>
                <w:szCs w:val="20"/>
                <w:color w:val="auto"/>
              </w:rPr>
            </w:pPr>
            <w:r>
              <w:rPr>
                <w:rFonts w:ascii="Times New Roman" w:cs="Times New Roman" w:eastAsia="Times New Roman" w:hAnsi="Times New Roman"/>
                <w:sz w:val="15"/>
                <w:szCs w:val="15"/>
                <w:color w:val="auto"/>
                <w:w w:val="94"/>
              </w:rPr>
              <w:t>95%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122,623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3,238</w:t>
            </w:r>
          </w:p>
        </w:tc>
        <w:tc>
          <w:tcPr>
            <w:tcW w:w="1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w:t>
            </w:r>
          </w:p>
        </w:tc>
      </w:tr>
      <w:tr>
        <w:trPr>
          <w:trHeight w:val="191"/>
        </w:trPr>
        <w:tc>
          <w:tcPr>
            <w:tcW w:w="25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60</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1,341,533</w:t>
            </w:r>
          </w:p>
        </w:tc>
        <w:tc>
          <w:tcPr>
            <w:tcW w:w="320" w:type="dxa"/>
            <w:vAlign w:val="bottom"/>
            <w:gridSpan w:val="2"/>
            <w:shd w:val="clear" w:color="auto" w:fill="CFF0FC"/>
          </w:tcPr>
          <w:p>
            <w:pPr>
              <w:jc w:val="right"/>
              <w:ind w:right="1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29,672</w:t>
            </w:r>
          </w:p>
        </w:tc>
        <w:tc>
          <w:tcPr>
            <w:tcW w:w="1420" w:type="dxa"/>
            <w:vAlign w:val="bottom"/>
            <w:gridSpan w:val="2"/>
            <w:shd w:val="clear" w:color="auto" w:fill="CFF0FC"/>
          </w:tcPr>
          <w:p>
            <w:pPr>
              <w:jc w:val="center"/>
              <w:ind w:left="45"/>
              <w:spacing w:after="0" w:line="171" w:lineRule="exact"/>
              <w:rPr>
                <w:sz w:val="20"/>
                <w:szCs w:val="20"/>
                <w:color w:val="auto"/>
              </w:rPr>
            </w:pPr>
            <w:r>
              <w:rPr>
                <w:rFonts w:ascii="Times New Roman" w:cs="Times New Roman" w:eastAsia="Times New Roman" w:hAnsi="Times New Roman"/>
                <w:sz w:val="15"/>
                <w:szCs w:val="15"/>
                <w:color w:val="auto"/>
                <w:w w:val="97"/>
              </w:rPr>
              <w:t>100%</w:t>
            </w:r>
          </w:p>
        </w:tc>
      </w:tr>
      <w:tr>
        <w:trPr>
          <w:trHeight w:val="20"/>
        </w:trPr>
        <w:tc>
          <w:tcPr>
            <w:tcW w:w="2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-20955</wp:posOffset>
            </wp:positionV>
            <wp:extent cx="9969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2543175</wp:posOffset>
            </wp:positionH>
            <wp:positionV relativeFrom="paragraph">
              <wp:posOffset>-6350</wp:posOffset>
            </wp:positionV>
            <wp:extent cx="9969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-20955</wp:posOffset>
            </wp:positionV>
            <wp:extent cx="927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-6350</wp:posOffset>
            </wp:positionV>
            <wp:extent cx="927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-20955</wp:posOffset>
            </wp:positionV>
            <wp:extent cx="9271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-6350</wp:posOffset>
            </wp:positionV>
            <wp:extent cx="9271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2710" cy="6985"/>
                    </a:xfrm>
                    <a:prstGeom prst="rect">
                      <a:avLst/>
                    </a:prstGeom>
                    <a:noFill/>
                  </pic:spPr>
                </pic:pic>
              </a:graphicData>
            </a:graphic>
          </wp:anchor>
        </w:drawing>
      </w:r>
    </w:p>
    <w:p>
      <w:pPr>
        <w:ind w:left="160" w:hanging="150"/>
        <w:spacing w:after="0" w:line="208"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properties under development related to one of our retail investments.</w:t>
      </w:r>
    </w:p>
    <w:p>
      <w:pPr>
        <w:spacing w:after="0" w:line="14" w:lineRule="exact"/>
        <w:rPr>
          <w:rFonts w:ascii="Times New Roman" w:cs="Times New Roman" w:eastAsia="Times New Roman" w:hAnsi="Times New Roman"/>
          <w:sz w:val="19"/>
          <w:szCs w:val="19"/>
          <w:color w:val="auto"/>
          <w:vertAlign w:val="superscript"/>
        </w:rPr>
      </w:pPr>
    </w:p>
    <w:p>
      <w:pPr>
        <w:ind w:right="140" w:firstLine="10"/>
        <w:spacing w:after="0" w:line="359" w:lineRule="auto"/>
        <w:tabs>
          <w:tab w:leader="none" w:pos="142"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Reflects real estate operating property investments only. Occupancy for our multifamily and single-family rental properties is measured monthly by dividing property market rent for occupied units by the gross market rent potential of all units. Gross market rent potential is the average monthly market rent of all units at the property. For our retail and industrial properties,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spacing w:after="0" w:line="1" w:lineRule="exact"/>
        <w:rPr>
          <w:rFonts w:ascii="Times New Roman" w:cs="Times New Roman" w:eastAsia="Times New Roman" w:hAnsi="Times New Roman"/>
          <w:sz w:val="16"/>
          <w:szCs w:val="16"/>
          <w:color w:val="auto"/>
          <w:vertAlign w:val="superscript"/>
        </w:rPr>
      </w:pPr>
    </w:p>
    <w:p>
      <w:pPr>
        <w:ind w:left="160" w:hanging="150"/>
        <w:spacing w:after="0" w:line="209"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Based on fair value as of March 31, 2026.</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Revenue includes tenant recoveries, straight-line rent, above-market lease amortization and below-market lease amortization.</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126 Fiore townhomes that are included as a single property in the number of properties.</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3.7 million square feet of land related to industrial outdoor storage and 2.0 million square feet of buildings related to other industrial properties.</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four retail developments that are represented as a single property in the number of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729615</wp:posOffset>
            </wp:positionV>
            <wp:extent cx="718058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color w:val="auto"/>
        </w:rPr>
        <w:t>The following table provides information regarding our real estate properties as of March 31, 2026: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7"/>
              </w:rPr>
              <w:t>Sq. ft. (in</w:t>
            </w:r>
          </w:p>
        </w:tc>
        <w:tc>
          <w:tcPr>
            <w:tcW w:w="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Ownership</w:t>
            </w:r>
          </w:p>
        </w:tc>
        <w:tc>
          <w:tcPr>
            <w:tcW w:w="40" w:type="dxa"/>
            <w:vAlign w:val="bottom"/>
          </w:tcPr>
          <w:p>
            <w:pPr>
              <w:spacing w:after="0"/>
              <w:rPr>
                <w:sz w:val="14"/>
                <w:szCs w:val="14"/>
                <w:color w:val="auto"/>
              </w:rPr>
            </w:pPr>
          </w:p>
        </w:tc>
        <w:tc>
          <w:tcPr>
            <w:tcW w:w="1800" w:type="dxa"/>
            <w:vAlign w:val="bottom"/>
          </w:tcPr>
          <w:p>
            <w:pPr>
              <w:jc w:val="center"/>
              <w:ind w:right="5"/>
              <w:spacing w:after="0" w:line="164" w:lineRule="exact"/>
              <w:rPr>
                <w:sz w:val="20"/>
                <w:szCs w:val="20"/>
                <w:color w:val="auto"/>
              </w:rPr>
            </w:pPr>
            <w:r>
              <w:rPr>
                <w:rFonts w:ascii="Times New Roman" w:cs="Times New Roman" w:eastAsia="Times New Roman" w:hAnsi="Times New Roman"/>
                <w:sz w:val="15"/>
                <w:szCs w:val="15"/>
                <w:b w:val="1"/>
                <w:bCs w:val="1"/>
                <w:color w:val="auto"/>
              </w:rPr>
              <w:t>thousands)/Number of</w:t>
            </w: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Property Type and Investment</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Properties</w:t>
            </w:r>
          </w:p>
        </w:tc>
        <w:tc>
          <w:tcPr>
            <w:tcW w:w="60" w:type="dxa"/>
            <w:vAlign w:val="bottom"/>
          </w:tcPr>
          <w:p>
            <w:pPr>
              <w:spacing w:after="0"/>
              <w:rPr>
                <w:sz w:val="18"/>
                <w:szCs w:val="18"/>
                <w:color w:val="auto"/>
              </w:rPr>
            </w:pPr>
          </w:p>
        </w:tc>
        <w:tc>
          <w:tcPr>
            <w:tcW w:w="17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w w:val="94"/>
              </w:rPr>
              <w:t>Location</w:t>
            </w:r>
            <w:r>
              <w:rPr>
                <w:rFonts w:ascii="Times New Roman" w:cs="Times New Roman" w:eastAsia="Times New Roman" w:hAnsi="Times New Roman"/>
                <w:sz w:val="20"/>
                <w:szCs w:val="20"/>
                <w:b w:val="1"/>
                <w:bCs w:val="1"/>
                <w:color w:val="auto"/>
                <w:w w:val="94"/>
                <w:vertAlign w:val="superscript"/>
              </w:rPr>
              <w:t>(1)</w:t>
            </w:r>
          </w:p>
        </w:tc>
        <w:tc>
          <w:tcPr>
            <w:tcW w:w="4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Acquisition Date</w:t>
            </w:r>
          </w:p>
        </w:tc>
        <w:tc>
          <w:tcPr>
            <w:tcW w:w="4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w w:val="91"/>
              </w:rPr>
              <w:t>Interest</w:t>
            </w:r>
            <w:r>
              <w:rPr>
                <w:rFonts w:ascii="Times New Roman" w:cs="Times New Roman" w:eastAsia="Times New Roman" w:hAnsi="Times New Roman"/>
                <w:sz w:val="20"/>
                <w:szCs w:val="20"/>
                <w:b w:val="1"/>
                <w:bCs w:val="1"/>
                <w:color w:val="auto"/>
                <w:w w:val="91"/>
                <w:vertAlign w:val="superscript"/>
              </w:rPr>
              <w:t>(2)</w:t>
            </w:r>
          </w:p>
        </w:tc>
        <w:tc>
          <w:tcPr>
            <w:tcW w:w="40" w:type="dxa"/>
            <w:vAlign w:val="bottom"/>
          </w:tcPr>
          <w:p>
            <w:pPr>
              <w:spacing w:after="0"/>
              <w:rPr>
                <w:sz w:val="18"/>
                <w:szCs w:val="18"/>
                <w:color w:val="auto"/>
              </w:rPr>
            </w:pPr>
          </w:p>
        </w:tc>
        <w:tc>
          <w:tcPr>
            <w:tcW w:w="18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15"/>
                <w:szCs w:val="15"/>
                <w:b w:val="1"/>
                <w:bCs w:val="1"/>
                <w:color w:val="auto"/>
                <w:w w:val="92"/>
              </w:rPr>
              <w:t>Units</w:t>
            </w:r>
            <w:r>
              <w:rPr>
                <w:rFonts w:ascii="Times New Roman" w:cs="Times New Roman" w:eastAsia="Times New Roman" w:hAnsi="Times New Roman"/>
                <w:sz w:val="20"/>
                <w:szCs w:val="20"/>
                <w:b w:val="1"/>
                <w:bCs w:val="1"/>
                <w:color w:val="auto"/>
                <w:w w:val="92"/>
                <w:vertAlign w:val="superscript"/>
              </w:rPr>
              <w:t>(3)</w:t>
            </w:r>
          </w:p>
        </w:tc>
        <w:tc>
          <w:tcPr>
            <w:tcW w:w="40" w:type="dxa"/>
            <w:vAlign w:val="bottom"/>
          </w:tcPr>
          <w:p>
            <w:pPr>
              <w:spacing w:after="0"/>
              <w:rPr>
                <w:sz w:val="18"/>
                <w:szCs w:val="18"/>
                <w:color w:val="auto"/>
              </w:rPr>
            </w:pPr>
          </w:p>
        </w:tc>
        <w:tc>
          <w:tcPr>
            <w:tcW w:w="1380" w:type="dxa"/>
            <w:vAlign w:val="bottom"/>
            <w:tcBorders>
              <w:bottom w:val="single" w:sz="8" w:color="auto"/>
            </w:tcBorders>
          </w:tcPr>
          <w:p>
            <w:pPr>
              <w:jc w:val="right"/>
              <w:ind w:right="305"/>
              <w:spacing w:after="0" w:line="213" w:lineRule="exact"/>
              <w:rPr>
                <w:sz w:val="20"/>
                <w:szCs w:val="20"/>
                <w:color w:val="auto"/>
              </w:rPr>
            </w:pPr>
            <w:r>
              <w:rPr>
                <w:rFonts w:ascii="Times New Roman" w:cs="Times New Roman" w:eastAsia="Times New Roman" w:hAnsi="Times New Roman"/>
                <w:sz w:val="15"/>
                <w:szCs w:val="15"/>
                <w:b w:val="1"/>
                <w:bCs w:val="1"/>
                <w:color w:val="auto"/>
              </w:rPr>
              <w:t>Occupancy</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gridSpan w:val="3"/>
            <w:shd w:val="clear" w:color="auto" w:fill="CFF0FC"/>
          </w:tcPr>
          <w:p>
            <w:pPr>
              <w:spacing w:after="0" w:line="137" w:lineRule="exact"/>
              <w:rPr>
                <w:sz w:val="20"/>
                <w:szCs w:val="20"/>
                <w:color w:val="auto"/>
              </w:rPr>
            </w:pPr>
            <w:r>
              <w:rPr>
                <w:rFonts w:ascii="Times New Roman" w:cs="Times New Roman" w:eastAsia="Times New Roman" w:hAnsi="Times New Roman"/>
                <w:sz w:val="15"/>
                <w:szCs w:val="15"/>
                <w:i w:val="1"/>
                <w:iCs w:val="1"/>
                <w:color w:val="auto"/>
                <w:w w:val="98"/>
              </w:rPr>
              <w:t>Multifamily:</w:t>
            </w:r>
          </w:p>
        </w:tc>
        <w:tc>
          <w:tcPr>
            <w:tcW w:w="1660" w:type="dxa"/>
            <w:vAlign w:val="bottom"/>
            <w:tcBorders>
              <w:bottom w:val="single" w:sz="8" w:color="CFF0FC"/>
            </w:tcBorders>
            <w:gridSpan w:val="2"/>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7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64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3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Caroline West Gray</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Houston, TX</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November 2022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95%</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Caroline Post Oak</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Houston, TX</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November 2022</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95%</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 units</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Coda on Centre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Pittsburgh, PA</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December 2022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Preserve at Pine Valley</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Wilmington, NC</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February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 units</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Bass Lofts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Atlanta, GA</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March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The Elmstead</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Providence, RI</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June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 units</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The Kensley</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Jacksonville, FL</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Echelon Oswego</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Chicago, IL</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June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 units</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Reflections at Red Mountain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Mesa, AZ</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June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Charleston Darby Portfolio</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Charleston, SC</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August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90%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647 units</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Vineyard Commons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Kingston, NY</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 units</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Baker Chocolate Factory</w:t>
            </w:r>
          </w:p>
        </w:tc>
        <w:tc>
          <w:tcPr>
            <w:tcW w:w="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Boston, MA</w:t>
            </w:r>
          </w:p>
        </w:tc>
        <w:tc>
          <w:tcPr>
            <w:tcW w:w="4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October 2025</w:t>
            </w:r>
          </w:p>
        </w:tc>
        <w:tc>
          <w:tcPr>
            <w:tcW w:w="10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95%</w:t>
            </w:r>
          </w:p>
        </w:tc>
        <w:tc>
          <w:tcPr>
            <w:tcW w:w="4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 units</w:t>
            </w:r>
          </w:p>
        </w:tc>
        <w:tc>
          <w:tcPr>
            <w:tcW w:w="1420" w:type="dxa"/>
            <w:vAlign w:val="bottom"/>
            <w:tcBorders>
              <w:bottom w:val="single" w:sz="8" w:color="CFF0FC"/>
            </w:tcBorders>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71"/>
        </w:trPr>
        <w:tc>
          <w:tcPr>
            <w:tcW w:w="2420" w:type="dxa"/>
            <w:vAlign w:val="bottom"/>
            <w:gridSpan w:val="5"/>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multifamily</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16</w:t>
            </w: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2,973 units</w:t>
            </w: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60" w:type="dxa"/>
            <w:vAlign w:val="bottom"/>
            <w:tcBorders>
              <w:bottom w:val="single" w:sz="8" w:color="auto"/>
            </w:tcBorders>
            <w:gridSpan w:val="4"/>
            <w:shd w:val="clear" w:color="auto" w:fill="CFF0FC"/>
          </w:tcPr>
          <w:p>
            <w:pPr>
              <w:spacing w:after="0" w:line="119" w:lineRule="exact"/>
              <w:rPr>
                <w:sz w:val="20"/>
                <w:szCs w:val="20"/>
                <w:color w:val="auto"/>
              </w:rPr>
            </w:pPr>
            <w:r>
              <w:rPr>
                <w:rFonts w:ascii="Times New Roman" w:cs="Times New Roman" w:eastAsia="Times New Roman" w:hAnsi="Times New Roman"/>
                <w:sz w:val="13"/>
                <w:szCs w:val="13"/>
                <w:i w:val="1"/>
                <w:iCs w:val="1"/>
                <w:color w:val="auto"/>
              </w:rPr>
              <w:t>Single-family rental:</w:t>
            </w:r>
          </w:p>
        </w:tc>
        <w:tc>
          <w:tcPr>
            <w:tcW w:w="116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7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6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3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420" w:type="dxa"/>
            <w:vAlign w:val="bottom"/>
            <w:gridSpan w:val="5"/>
          </w:tcPr>
          <w:p>
            <w:pPr>
              <w:spacing w:after="0" w:line="225" w:lineRule="exact"/>
              <w:rPr>
                <w:sz w:val="20"/>
                <w:szCs w:val="20"/>
                <w:color w:val="auto"/>
              </w:rPr>
            </w:pPr>
            <w:r>
              <w:rPr>
                <w:rFonts w:ascii="Times New Roman" w:cs="Times New Roman" w:eastAsia="Times New Roman" w:hAnsi="Times New Roman"/>
                <w:sz w:val="15"/>
                <w:szCs w:val="15"/>
                <w:color w:val="auto"/>
              </w:rPr>
              <w:t>Fiore</w:t>
            </w:r>
            <w:r>
              <w:rPr>
                <w:rFonts w:ascii="Times New Roman" w:cs="Times New Roman" w:eastAsia="Times New Roman" w:hAnsi="Times New Roman"/>
                <w:sz w:val="20"/>
                <w:szCs w:val="20"/>
                <w:color w:val="auto"/>
                <w:vertAlign w:val="superscript"/>
              </w:rPr>
              <w:t>(5)</w:t>
            </w:r>
          </w:p>
        </w:tc>
        <w:tc>
          <w:tcPr>
            <w:tcW w:w="60" w:type="dxa"/>
            <w:vAlign w:val="bottom"/>
            <w:vMerge w:val="restart"/>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Sarasota, FL</w:t>
            </w:r>
          </w:p>
        </w:tc>
        <w:tc>
          <w:tcPr>
            <w:tcW w:w="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December 2023 -</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9"/>
                <w:szCs w:val="19"/>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126 units</w:t>
            </w:r>
          </w:p>
        </w:tc>
        <w:tc>
          <w:tcPr>
            <w:tcW w:w="14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28"/>
        </w:trPr>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September 2024</w:t>
            </w: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Borders>
              <w:bottom w:val="single" w:sz="8" w:color="auto"/>
            </w:tcBorders>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20" w:type="dxa"/>
            <w:vAlign w:val="bottom"/>
            <w:gridSpan w:val="5"/>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single-family rental</w:t>
            </w:r>
          </w:p>
        </w:tc>
        <w:tc>
          <w:tcPr>
            <w:tcW w:w="106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126 units</w:t>
            </w: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420" w:type="dxa"/>
            <w:vAlign w:val="bottom"/>
            <w:tcBorders>
              <w:top w:val="single" w:sz="8" w:color="CFF0FC"/>
            </w:tcBorders>
            <w:gridSpan w:val="5"/>
          </w:tcPr>
          <w:p>
            <w:pPr>
              <w:spacing w:after="0" w:line="119" w:lineRule="exact"/>
              <w:rPr>
                <w:sz w:val="20"/>
                <w:szCs w:val="20"/>
                <w:color w:val="auto"/>
              </w:rPr>
            </w:pPr>
            <w:r>
              <w:rPr>
                <w:rFonts w:ascii="Times New Roman" w:cs="Times New Roman" w:eastAsia="Times New Roman" w:hAnsi="Times New Roman"/>
                <w:sz w:val="13"/>
                <w:szCs w:val="13"/>
                <w:i w:val="1"/>
                <w:iCs w:val="1"/>
                <w:color w:val="auto"/>
              </w:rPr>
              <w:t>Industrial:</w:t>
            </w:r>
          </w:p>
        </w:tc>
        <w:tc>
          <w:tcPr>
            <w:tcW w:w="60" w:type="dxa"/>
            <w:vAlign w:val="bottom"/>
            <w:tcBorders>
              <w:top w:val="single" w:sz="8" w:color="CFF0FC"/>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7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64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9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3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i w:val="1"/>
                <w:iCs w:val="1"/>
                <w:color w:val="auto"/>
              </w:rPr>
              <w:t>Industrial outdoor storage</w:t>
            </w:r>
          </w:p>
        </w:tc>
        <w:tc>
          <w:tcPr>
            <w:tcW w:w="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6200 Bristol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Philadelphia, PA</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October 2022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Industrial outdoor storage portfolio</w:t>
            </w:r>
          </w:p>
        </w:tc>
        <w:tc>
          <w:tcPr>
            <w:tcW w:w="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6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CFF0FC"/>
            </w:tcBorders>
            <w:shd w:val="clear" w:color="auto" w:fill="CFF0FC"/>
          </w:tcPr>
          <w:p>
            <w:pPr>
              <w:jc w:val="center"/>
              <w:spacing w:after="0" w:line="180" w:lineRule="exact"/>
              <w:rPr>
                <w:sz w:val="20"/>
                <w:szCs w:val="20"/>
                <w:color w:val="auto"/>
              </w:rPr>
            </w:pPr>
            <w:r>
              <w:rPr>
                <w:rFonts w:ascii="Times New Roman" w:cs="Times New Roman" w:eastAsia="Times New Roman" w:hAnsi="Times New Roman"/>
                <w:sz w:val="15"/>
                <w:szCs w:val="15"/>
                <w:color w:val="auto"/>
                <w:w w:val="95"/>
              </w:rPr>
              <w:t>Various</w:t>
            </w:r>
            <w:r>
              <w:rPr>
                <w:rFonts w:ascii="Times New Roman" w:cs="Times New Roman" w:eastAsia="Times New Roman" w:hAnsi="Times New Roman"/>
                <w:sz w:val="20"/>
                <w:szCs w:val="20"/>
                <w:color w:val="auto"/>
                <w:w w:val="95"/>
                <w:vertAlign w:val="superscript"/>
              </w:rPr>
              <w:t>(6)</w:t>
            </w:r>
          </w:p>
        </w:tc>
        <w:tc>
          <w:tcPr>
            <w:tcW w:w="4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June and September 2025</w:t>
            </w:r>
          </w:p>
        </w:tc>
        <w:tc>
          <w:tcPr>
            <w:tcW w:w="10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3,284 sq. ft.</w:t>
            </w:r>
          </w:p>
        </w:tc>
        <w:tc>
          <w:tcPr>
            <w:tcW w:w="1420" w:type="dxa"/>
            <w:vAlign w:val="bottom"/>
            <w:tcBorders>
              <w:bottom w:val="single" w:sz="8" w:color="CFF0FC"/>
            </w:tcBorders>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1"/>
        </w:trPr>
        <w:tc>
          <w:tcPr>
            <w:tcW w:w="2420" w:type="dxa"/>
            <w:vAlign w:val="bottom"/>
            <w:gridSpan w:val="5"/>
          </w:tcPr>
          <w:p>
            <w:pPr>
              <w:spacing w:after="0" w:line="171" w:lineRule="exact"/>
              <w:rPr>
                <w:sz w:val="20"/>
                <w:szCs w:val="20"/>
                <w:color w:val="auto"/>
              </w:rPr>
            </w:pPr>
            <w:r>
              <w:rPr>
                <w:rFonts w:ascii="Times New Roman" w:cs="Times New Roman" w:eastAsia="Times New Roman" w:hAnsi="Times New Roman"/>
                <w:sz w:val="15"/>
                <w:szCs w:val="15"/>
                <w:color w:val="auto"/>
              </w:rPr>
              <w:t>Total industrial outdoor storage</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18</w:t>
            </w: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3,708 sq. ft.</w:t>
            </w: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i w:val="1"/>
                <w:iCs w:val="1"/>
                <w:color w:val="auto"/>
              </w:rPr>
              <w:t>Other industrial</w:t>
            </w:r>
          </w:p>
        </w:tc>
        <w:tc>
          <w:tcPr>
            <w:tcW w:w="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Savannah Truck Terminal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Savannah, GA</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July 2023</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PODS</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5"/>
                <w:szCs w:val="15"/>
                <w:color w:val="auto"/>
                <w:w w:val="95"/>
              </w:rPr>
              <w:t>Various</w:t>
            </w:r>
            <w:r>
              <w:rPr>
                <w:rFonts w:ascii="Times New Roman" w:cs="Times New Roman" w:eastAsia="Times New Roman" w:hAnsi="Times New Roman"/>
                <w:sz w:val="20"/>
                <w:szCs w:val="20"/>
                <w:color w:val="auto"/>
                <w:w w:val="95"/>
                <w:vertAlign w:val="superscript"/>
              </w:rPr>
              <w:t>(7)</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November 2024</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 sq. ft.</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Norfolk Industrial Portfolio</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60" w:type="dxa"/>
            <w:vAlign w:val="bottom"/>
          </w:tcPr>
          <w:p>
            <w:pPr>
              <w:spacing w:after="0"/>
              <w:rPr>
                <w:sz w:val="15"/>
                <w:szCs w:val="15"/>
                <w:color w:val="auto"/>
              </w:rPr>
            </w:pPr>
          </w:p>
        </w:tc>
        <w:tc>
          <w:tcPr>
            <w:tcW w:w="1780" w:type="dxa"/>
            <w:vAlign w:val="bottom"/>
          </w:tcPr>
          <w:p>
            <w:pPr>
              <w:jc w:val="center"/>
              <w:spacing w:after="0" w:line="180" w:lineRule="exact"/>
              <w:rPr>
                <w:sz w:val="20"/>
                <w:szCs w:val="20"/>
                <w:color w:val="auto"/>
              </w:rPr>
            </w:pPr>
            <w:r>
              <w:rPr>
                <w:rFonts w:ascii="Times New Roman" w:cs="Times New Roman" w:eastAsia="Times New Roman" w:hAnsi="Times New Roman"/>
                <w:sz w:val="15"/>
                <w:szCs w:val="15"/>
                <w:color w:val="auto"/>
                <w:w w:val="95"/>
              </w:rPr>
              <w:t>Various</w:t>
            </w:r>
            <w:r>
              <w:rPr>
                <w:rFonts w:ascii="Times New Roman" w:cs="Times New Roman" w:eastAsia="Times New Roman" w:hAnsi="Times New Roman"/>
                <w:sz w:val="20"/>
                <w:szCs w:val="20"/>
                <w:color w:val="auto"/>
                <w:w w:val="95"/>
                <w:vertAlign w:val="superscript"/>
              </w:rPr>
              <w:t>(8)</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April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88%</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Dallas Infill Portfolio</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Dallas, TX</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May and July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553 sq. ft.</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One Brooklyn</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New York, NY</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July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11801 Industry</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Jacksonville, FL</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July 2025</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 sq. ft.</w:t>
            </w:r>
          </w:p>
        </w:tc>
        <w:tc>
          <w:tcPr>
            <w:tcW w:w="142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125 Fisher Street</w:t>
            </w:r>
          </w:p>
        </w:tc>
        <w:tc>
          <w:tcPr>
            <w:tcW w:w="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Worcester, MA</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December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CFF0FC"/>
            </w:tcBorders>
            <w:gridSpan w:val="5"/>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other industrial</w:t>
            </w:r>
          </w:p>
        </w:tc>
        <w:tc>
          <w:tcPr>
            <w:tcW w:w="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22</w:t>
            </w:r>
          </w:p>
        </w:tc>
        <w:tc>
          <w:tcPr>
            <w:tcW w:w="60" w:type="dxa"/>
            <w:vAlign w:val="bottom"/>
            <w:tcBorders>
              <w:bottom w:val="single" w:sz="8" w:color="CFF0FC"/>
            </w:tcBorders>
            <w:shd w:val="clear" w:color="auto" w:fill="CFF0FC"/>
          </w:tcPr>
          <w:p>
            <w:pPr>
              <w:spacing w:after="0"/>
              <w:rPr>
                <w:sz w:val="14"/>
                <w:szCs w:val="14"/>
                <w:color w:val="auto"/>
              </w:rPr>
            </w:pPr>
          </w:p>
        </w:tc>
        <w:tc>
          <w:tcPr>
            <w:tcW w:w="17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64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800" w:type="dxa"/>
            <w:vAlign w:val="bottom"/>
            <w:tcBorders>
              <w:bottom w:val="single" w:sz="8" w:color="CFF0FC"/>
            </w:tcBorders>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1,956 sq. ft.</w:t>
            </w:r>
          </w:p>
        </w:tc>
        <w:tc>
          <w:tcPr>
            <w:tcW w:w="4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5"/>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industrial</w:t>
            </w:r>
          </w:p>
        </w:tc>
        <w:tc>
          <w:tcPr>
            <w:tcW w:w="10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40</w:t>
            </w: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0" w:type="dxa"/>
            <w:vAlign w:val="bottom"/>
            <w:tcBorders>
              <w:bottom w:val="single" w:sz="8" w:color="auto"/>
            </w:tcBorders>
            <w:shd w:val="clear" w:color="auto" w:fill="CFF0FC"/>
          </w:tcPr>
          <w:p>
            <w:pPr>
              <w:spacing w:after="0" w:line="119" w:lineRule="exact"/>
              <w:rPr>
                <w:sz w:val="20"/>
                <w:szCs w:val="20"/>
                <w:color w:val="auto"/>
              </w:rPr>
            </w:pPr>
            <w:r>
              <w:rPr>
                <w:rFonts w:ascii="Times New Roman" w:cs="Times New Roman" w:eastAsia="Times New Roman" w:hAnsi="Times New Roman"/>
                <w:sz w:val="13"/>
                <w:szCs w:val="13"/>
                <w:i w:val="1"/>
                <w:iCs w:val="1"/>
                <w:color w:val="auto"/>
              </w:rPr>
              <w:t>Retail:</w:t>
            </w:r>
          </w:p>
        </w:tc>
        <w:tc>
          <w:tcPr>
            <w:tcW w:w="2000" w:type="dxa"/>
            <w:vAlign w:val="bottom"/>
            <w:tcBorders>
              <w:bottom w:val="single" w:sz="8" w:color="CFF0FC"/>
            </w:tcBorders>
            <w:gridSpan w:val="4"/>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7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6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3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Shops at Grand Avenue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New York, NY</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2024</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95%</w:t>
            </w:r>
          </w:p>
        </w:tc>
        <w:tc>
          <w:tcPr>
            <w:tcW w:w="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80"/>
        </w:trPr>
        <w:tc>
          <w:tcPr>
            <w:tcW w:w="2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5"/>
                <w:szCs w:val="15"/>
                <w:color w:val="auto"/>
              </w:rPr>
              <w:t>Stablewood</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CFF0FC"/>
          </w:tcPr>
          <w:p>
            <w:pPr>
              <w:spacing w:after="0"/>
              <w:rPr>
                <w:sz w:val="15"/>
                <w:szCs w:val="15"/>
                <w:color w:val="auto"/>
              </w:rPr>
            </w:pPr>
          </w:p>
        </w:tc>
        <w:tc>
          <w:tcPr>
            <w:tcW w:w="17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5"/>
                <w:szCs w:val="15"/>
                <w:color w:val="auto"/>
                <w:w w:val="95"/>
              </w:rPr>
              <w:t>Various</w:t>
            </w:r>
            <w:r>
              <w:rPr>
                <w:rFonts w:ascii="Times New Roman" w:cs="Times New Roman" w:eastAsia="Times New Roman" w:hAnsi="Times New Roman"/>
                <w:sz w:val="20"/>
                <w:szCs w:val="20"/>
                <w:color w:val="auto"/>
                <w:w w:val="95"/>
                <w:vertAlign w:val="superscript"/>
              </w:rPr>
              <w:t>(9)</w:t>
            </w:r>
          </w:p>
        </w:tc>
        <w:tc>
          <w:tcPr>
            <w:tcW w:w="4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6"/>
              </w:rPr>
              <w:t>Various</w:t>
            </w:r>
          </w:p>
        </w:tc>
        <w:tc>
          <w:tcPr>
            <w:tcW w:w="1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98%</w:t>
            </w:r>
          </w:p>
        </w:tc>
        <w:tc>
          <w:tcPr>
            <w:tcW w:w="4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4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Shoppes at Heron Lakes</w:t>
            </w:r>
          </w:p>
        </w:tc>
        <w:tc>
          <w:tcPr>
            <w:tcW w:w="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Miami, FL</w:t>
            </w:r>
          </w:p>
        </w:tc>
        <w:tc>
          <w:tcPr>
            <w:tcW w:w="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November 2025</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 sq. ft.</w:t>
            </w:r>
          </w:p>
        </w:tc>
        <w:tc>
          <w:tcPr>
            <w:tcW w:w="14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11"/>
        </w:trPr>
        <w:tc>
          <w:tcPr>
            <w:tcW w:w="2420" w:type="dxa"/>
            <w:vAlign w:val="bottom"/>
            <w:gridSpan w:val="5"/>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retail</w:t>
            </w:r>
          </w:p>
        </w:tc>
        <w:tc>
          <w:tcPr>
            <w:tcW w:w="106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3</w:t>
            </w:r>
          </w:p>
        </w:tc>
        <w:tc>
          <w:tcPr>
            <w:tcW w:w="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236 sq. ft.</w:t>
            </w: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64"/>
        </w:trPr>
        <w:tc>
          <w:tcPr>
            <w:tcW w:w="4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CFF0FC"/>
              <w:bottom w:val="single" w:sz="8" w:color="9A9A9A"/>
            </w:tcBorders>
          </w:tcPr>
          <w:p>
            <w:pPr>
              <w:spacing w:after="0"/>
              <w:rPr>
                <w:sz w:val="24"/>
                <w:szCs w:val="24"/>
                <w:color w:val="auto"/>
              </w:rPr>
            </w:pPr>
          </w:p>
        </w:tc>
        <w:tc>
          <w:tcPr>
            <w:tcW w:w="116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17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6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9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80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38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-3612515</wp:posOffset>
            </wp:positionV>
            <wp:extent cx="2857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-3612515</wp:posOffset>
            </wp:positionV>
            <wp:extent cx="2857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-3014345</wp:posOffset>
            </wp:positionV>
            <wp:extent cx="2857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-2999740</wp:posOffset>
            </wp:positionV>
            <wp:extent cx="2857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-3014345</wp:posOffset>
            </wp:positionV>
            <wp:extent cx="2857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-2999740</wp:posOffset>
            </wp:positionV>
            <wp:extent cx="2857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-2536825</wp:posOffset>
            </wp:positionV>
            <wp:extent cx="2857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-2536825</wp:posOffset>
            </wp:positionV>
            <wp:extent cx="2857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-1381760</wp:posOffset>
            </wp:positionV>
            <wp:extent cx="2857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-662305</wp:posOffset>
            </wp:positionV>
            <wp:extent cx="2857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-647700</wp:posOffset>
            </wp:positionV>
            <wp:extent cx="2857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-662305</wp:posOffset>
            </wp:positionV>
            <wp:extent cx="2857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-647700</wp:posOffset>
            </wp:positionV>
            <wp:extent cx="2857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35" w:name="page36"/>
    <w:bookmarkEnd w:id="35"/>
    <w:p>
      <w:pPr>
        <w:ind w:left="160" w:hanging="150"/>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Refers to the metropolitan statistical area.</w:t>
      </w:r>
    </w:p>
    <w:p>
      <w:pPr>
        <w:spacing w:after="0" w:line="13"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of the joint venture agreements entered into by us provide the other partner a profits interest based on certain internal rate of return hurdles being achieved.</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properties under development related to one of our retail investments.</w:t>
      </w:r>
    </w:p>
    <w:p>
      <w:pPr>
        <w:spacing w:after="0" w:line="14" w:lineRule="exact"/>
        <w:rPr>
          <w:rFonts w:ascii="Times New Roman" w:cs="Times New Roman" w:eastAsia="Times New Roman" w:hAnsi="Times New Roman"/>
          <w:sz w:val="19"/>
          <w:szCs w:val="19"/>
          <w:color w:val="auto"/>
          <w:vertAlign w:val="superscript"/>
        </w:rPr>
      </w:pPr>
    </w:p>
    <w:p>
      <w:pPr>
        <w:jc w:val="both"/>
        <w:ind w:right="40" w:firstLine="10"/>
        <w:spacing w:after="0" w:line="287" w:lineRule="auto"/>
        <w:tabs>
          <w:tab w:leader="none" w:pos="142"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Reflects real estate operating property investments only. Occupancy for our multifamily properties is measured monthly by dividing property market rent for occupied units by the gross market rent potential of all units. Gross market rent potential is the average monthly market rent of all units at the property. For our retail and industrial investments,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ind w:left="160" w:hanging="150"/>
        <w:spacing w:after="0" w:line="209"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126 Fiore townhomes that are included as a single property in the number of properties.</w:t>
      </w:r>
    </w:p>
    <w:p>
      <w:pPr>
        <w:spacing w:after="0" w:line="14" w:lineRule="exact"/>
        <w:rPr>
          <w:rFonts w:ascii="Times New Roman" w:cs="Times New Roman" w:eastAsia="Times New Roman" w:hAnsi="Times New Roman"/>
          <w:sz w:val="19"/>
          <w:szCs w:val="19"/>
          <w:color w:val="auto"/>
          <w:vertAlign w:val="superscript"/>
        </w:rPr>
      </w:pPr>
    </w:p>
    <w:p>
      <w:pPr>
        <w:ind w:right="560" w:firstLine="10"/>
        <w:spacing w:after="0"/>
        <w:tabs>
          <w:tab w:leader="none" w:pos="142"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five properties located in Illinois, three properties located in New Jersey, two properties in each of Pennsylvania, New York and Wisconsin and one property in each of California, Connecticut and Washington.</w:t>
      </w:r>
    </w:p>
    <w:p>
      <w:pPr>
        <w:spacing w:after="0" w:line="172" w:lineRule="exact"/>
        <w:rPr>
          <w:rFonts w:ascii="Times New Roman" w:cs="Times New Roman" w:eastAsia="Times New Roman" w:hAnsi="Times New Roman"/>
          <w:sz w:val="16"/>
          <w:szCs w:val="16"/>
          <w:color w:val="auto"/>
          <w:vertAlign w:val="superscript"/>
        </w:rPr>
      </w:pPr>
    </w:p>
    <w:p>
      <w:pPr>
        <w:ind w:left="160" w:hanging="150"/>
        <w:spacing w:after="0" w:line="209"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one property located in Tampa, Florida and one located in Pinellas Park, Florida.</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six properties located in Norfolk, Virginia and one located in Rockledge, Florida.</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four retail developments including one in Greenville, South Carolina, one in Denver, Colorado, one in Pensacola, Florida and one in Holland, Michigan.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Lease expirations</w:t>
      </w:r>
    </w:p>
    <w:p>
      <w:pPr>
        <w:spacing w:after="0" w:line="99"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15"/>
          <w:szCs w:val="15"/>
          <w:color w:val="auto"/>
        </w:rPr>
        <w:t>The following table details the expiring leases at our retail and industrial properties by annualized base rent as of March 31, 2026 ($ in thousands). The table below excludes our multifamily and single-family rental properties as substantially all leases at such properties expire within 12 months: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220" w:type="dxa"/>
            <w:vAlign w:val="bottom"/>
          </w:tcPr>
          <w:p>
            <w:pPr>
              <w:spacing w:after="0"/>
              <w:rPr>
                <w:sz w:val="19"/>
                <w:szCs w:val="19"/>
                <w:color w:val="auto"/>
              </w:rPr>
            </w:pPr>
          </w:p>
        </w:tc>
        <w:tc>
          <w:tcPr>
            <w:tcW w:w="25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Number of Expiring Leases</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5"/>
                <w:szCs w:val="15"/>
                <w:b w:val="1"/>
                <w:bCs w:val="1"/>
                <w:color w:val="auto"/>
              </w:rPr>
              <w:t>Annualized Rent</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9"/>
                <w:szCs w:val="19"/>
                <w:color w:val="auto"/>
              </w:rPr>
            </w:pP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 of Total Annualized Rent Expiring</w:t>
            </w:r>
          </w:p>
        </w:tc>
      </w:tr>
      <w:tr>
        <w:trPr>
          <w:trHeight w:val="171"/>
        </w:trPr>
        <w:tc>
          <w:tcPr>
            <w:tcW w:w="32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2026 (remaining)</w:t>
            </w:r>
          </w:p>
        </w:tc>
        <w:tc>
          <w:tcPr>
            <w:tcW w:w="2800" w:type="dxa"/>
            <w:vAlign w:val="bottom"/>
            <w:gridSpan w:val="2"/>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7</w:t>
            </w:r>
          </w:p>
        </w:tc>
        <w:tc>
          <w:tcPr>
            <w:tcW w:w="460" w:type="dxa"/>
            <w:vAlign w:val="bottom"/>
            <w:gridSpan w:val="2"/>
            <w:shd w:val="clear" w:color="auto" w:fill="CFF0FC"/>
          </w:tcPr>
          <w:p>
            <w:pPr>
              <w:jc w:val="right"/>
              <w:ind w:right="2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180" w:type="dxa"/>
            <w:vAlign w:val="bottom"/>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1,184</w:t>
            </w:r>
          </w:p>
        </w:tc>
        <w:tc>
          <w:tcPr>
            <w:tcW w:w="2600" w:type="dxa"/>
            <w:vAlign w:val="bottom"/>
            <w:gridSpan w:val="2"/>
            <w:shd w:val="clear" w:color="auto" w:fill="CFF0FC"/>
          </w:tcPr>
          <w:p>
            <w:pPr>
              <w:jc w:val="center"/>
              <w:ind w:left="45"/>
              <w:spacing w:after="0" w:line="171" w:lineRule="exact"/>
              <w:rPr>
                <w:sz w:val="20"/>
                <w:szCs w:val="20"/>
                <w:color w:val="auto"/>
              </w:rPr>
            </w:pPr>
            <w:r>
              <w:rPr>
                <w:rFonts w:ascii="Times New Roman" w:cs="Times New Roman" w:eastAsia="Times New Roman" w:hAnsi="Times New Roman"/>
                <w:sz w:val="15"/>
                <w:szCs w:val="15"/>
                <w:color w:val="auto"/>
                <w:w w:val="99"/>
              </w:rPr>
              <w:t>4%</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80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1,979</w:t>
            </w:r>
          </w:p>
        </w:tc>
        <w:tc>
          <w:tcPr>
            <w:tcW w:w="260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9"/>
              </w:rPr>
              <w:t>6%</w:t>
            </w:r>
          </w:p>
        </w:tc>
      </w:tr>
      <w:tr>
        <w:trPr>
          <w:trHeight w:val="18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2028</w:t>
            </w:r>
          </w:p>
        </w:tc>
        <w:tc>
          <w:tcPr>
            <w:tcW w:w="28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17</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1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2,959</w:t>
            </w:r>
          </w:p>
        </w:tc>
        <w:tc>
          <w:tcPr>
            <w:tcW w:w="2600" w:type="dxa"/>
            <w:vAlign w:val="bottom"/>
            <w:gridSpan w:val="2"/>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w w:val="99"/>
              </w:rPr>
              <w:t>9%</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2029</w:t>
            </w:r>
          </w:p>
        </w:tc>
        <w:tc>
          <w:tcPr>
            <w:tcW w:w="280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2,796</w:t>
            </w:r>
          </w:p>
        </w:tc>
        <w:tc>
          <w:tcPr>
            <w:tcW w:w="260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9"/>
              </w:rPr>
              <w:t>9%</w:t>
            </w:r>
          </w:p>
        </w:tc>
      </w:tr>
      <w:tr>
        <w:trPr>
          <w:trHeight w:val="18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2030</w:t>
            </w:r>
          </w:p>
        </w:tc>
        <w:tc>
          <w:tcPr>
            <w:tcW w:w="28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18</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1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6,087</w:t>
            </w:r>
          </w:p>
        </w:tc>
        <w:tc>
          <w:tcPr>
            <w:tcW w:w="2600" w:type="dxa"/>
            <w:vAlign w:val="bottom"/>
            <w:gridSpan w:val="2"/>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rPr>
              <w:t>19%</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2031</w:t>
            </w:r>
          </w:p>
        </w:tc>
        <w:tc>
          <w:tcPr>
            <w:tcW w:w="280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1,521</w:t>
            </w:r>
          </w:p>
        </w:tc>
        <w:tc>
          <w:tcPr>
            <w:tcW w:w="260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9"/>
              </w:rPr>
              <w:t>5%</w:t>
            </w:r>
          </w:p>
        </w:tc>
      </w:tr>
      <w:tr>
        <w:trPr>
          <w:trHeight w:val="18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2032</w:t>
            </w:r>
          </w:p>
        </w:tc>
        <w:tc>
          <w:tcPr>
            <w:tcW w:w="28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1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1,229</w:t>
            </w:r>
          </w:p>
        </w:tc>
        <w:tc>
          <w:tcPr>
            <w:tcW w:w="2600" w:type="dxa"/>
            <w:vAlign w:val="bottom"/>
            <w:gridSpan w:val="2"/>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w w:val="99"/>
              </w:rPr>
              <w:t>4%</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2033</w:t>
            </w:r>
          </w:p>
        </w:tc>
        <w:tc>
          <w:tcPr>
            <w:tcW w:w="280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1,784</w:t>
            </w:r>
          </w:p>
        </w:tc>
        <w:tc>
          <w:tcPr>
            <w:tcW w:w="260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9"/>
              </w:rPr>
              <w:t>6%</w:t>
            </w:r>
          </w:p>
        </w:tc>
      </w:tr>
      <w:tr>
        <w:trPr>
          <w:trHeight w:val="18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2034</w:t>
            </w:r>
          </w:p>
        </w:tc>
        <w:tc>
          <w:tcPr>
            <w:tcW w:w="28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18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569</w:t>
            </w:r>
          </w:p>
        </w:tc>
        <w:tc>
          <w:tcPr>
            <w:tcW w:w="2600" w:type="dxa"/>
            <w:vAlign w:val="bottom"/>
            <w:gridSpan w:val="2"/>
            <w:shd w:val="clear" w:color="auto" w:fill="CFF0FC"/>
          </w:tcPr>
          <w:p>
            <w:pPr>
              <w:jc w:val="center"/>
              <w:ind w:left="45"/>
              <w:spacing w:after="0"/>
              <w:rPr>
                <w:sz w:val="20"/>
                <w:szCs w:val="20"/>
                <w:color w:val="auto"/>
              </w:rPr>
            </w:pPr>
            <w:r>
              <w:rPr>
                <w:rFonts w:ascii="Times New Roman" w:cs="Times New Roman" w:eastAsia="Times New Roman" w:hAnsi="Times New Roman"/>
                <w:sz w:val="15"/>
                <w:szCs w:val="15"/>
                <w:color w:val="auto"/>
                <w:w w:val="99"/>
              </w:rPr>
              <w:t>2%</w:t>
            </w:r>
          </w:p>
        </w:tc>
      </w:tr>
      <w:tr>
        <w:trPr>
          <w:trHeight w:val="180"/>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2035</w:t>
            </w:r>
          </w:p>
        </w:tc>
        <w:tc>
          <w:tcPr>
            <w:tcW w:w="280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1,360</w:t>
            </w:r>
          </w:p>
        </w:tc>
        <w:tc>
          <w:tcPr>
            <w:tcW w:w="260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auto"/>
                <w:w w:val="99"/>
              </w:rPr>
              <w:t>4%</w:t>
            </w:r>
          </w:p>
        </w:tc>
      </w:tr>
      <w:tr>
        <w:trPr>
          <w:trHeight w:val="180"/>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21</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18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10,098</w:t>
            </w:r>
          </w:p>
        </w:tc>
        <w:tc>
          <w:tcPr>
            <w:tcW w:w="140" w:type="dxa"/>
            <w:vAlign w:val="bottom"/>
            <w:tcBorders>
              <w:bottom w:val="single" w:sz="8" w:color="CFF0FC"/>
            </w:tcBorders>
            <w:shd w:val="clear" w:color="auto" w:fill="CFF0FC"/>
          </w:tcPr>
          <w:p>
            <w:pPr>
              <w:spacing w:after="0"/>
              <w:rPr>
                <w:sz w:val="15"/>
                <w:szCs w:val="15"/>
                <w:color w:val="auto"/>
              </w:rPr>
            </w:pPr>
          </w:p>
        </w:tc>
        <w:tc>
          <w:tcPr>
            <w:tcW w:w="2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32%</w:t>
            </w:r>
          </w:p>
        </w:tc>
      </w:tr>
      <w:tr>
        <w:trPr>
          <w:trHeight w:val="171"/>
        </w:trPr>
        <w:tc>
          <w:tcPr>
            <w:tcW w:w="324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2800" w:type="dxa"/>
            <w:vAlign w:val="bottom"/>
            <w:gridSpan w:val="2"/>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98</w:t>
            </w:r>
          </w:p>
        </w:tc>
        <w:tc>
          <w:tcPr>
            <w:tcW w:w="460" w:type="dxa"/>
            <w:vAlign w:val="bottom"/>
            <w:gridSpan w:val="2"/>
          </w:tcPr>
          <w:p>
            <w:pPr>
              <w:jc w:val="right"/>
              <w:ind w:right="2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18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31,566</w:t>
            </w:r>
          </w:p>
        </w:tc>
        <w:tc>
          <w:tcPr>
            <w:tcW w:w="2600" w:type="dxa"/>
            <w:vAlign w:val="bottom"/>
            <w:gridSpan w:val="2"/>
          </w:tcPr>
          <w:p>
            <w:pPr>
              <w:jc w:val="center"/>
              <w:ind w:left="45"/>
              <w:spacing w:after="0" w:line="171" w:lineRule="exact"/>
              <w:rPr>
                <w:sz w:val="20"/>
                <w:szCs w:val="20"/>
                <w:color w:val="auto"/>
              </w:rPr>
            </w:pPr>
            <w:r>
              <w:rPr>
                <w:rFonts w:ascii="Times New Roman" w:cs="Times New Roman" w:eastAsia="Times New Roman" w:hAnsi="Times New Roman"/>
                <w:sz w:val="15"/>
                <w:szCs w:val="15"/>
                <w:color w:val="auto"/>
              </w:rPr>
              <w:t>100%</w:t>
            </w:r>
          </w:p>
        </w:tc>
      </w:tr>
      <w:tr>
        <w:trPr>
          <w:trHeight w:val="20"/>
        </w:trPr>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-141605</wp:posOffset>
            </wp:positionV>
            <wp:extent cx="9271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5507990</wp:posOffset>
            </wp:positionH>
            <wp:positionV relativeFrom="paragraph">
              <wp:posOffset>-141605</wp:posOffset>
            </wp:positionV>
            <wp:extent cx="9271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2710" cy="6985"/>
                    </a:xfrm>
                    <a:prstGeom prst="rect">
                      <a:avLst/>
                    </a:prstGeom>
                    <a:noFill/>
                  </pic:spPr>
                </pic:pic>
              </a:graphicData>
            </a:graphic>
          </wp:anchor>
        </w:drawing>
      </w:r>
    </w:p>
    <w:p>
      <w:pPr>
        <w:ind w:left="160" w:hanging="150"/>
        <w:spacing w:after="0" w:line="208" w:lineRule="auto"/>
        <w:tabs>
          <w:tab w:leader="none" w:pos="1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annualized base rent as of March 31, 2026 and excludes tenant recoveries.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Investments in real estate debt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investments in real estate debt as of March 31, 2026 and December 31, 2025 ($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Weighted-Average   Weighted-Average</w:t>
            </w: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Real Estate Debt</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5"/>
                <w:szCs w:val="15"/>
                <w:b w:val="1"/>
                <w:bCs w:val="1"/>
                <w:color w:val="auto"/>
              </w:rPr>
              <w:t>Positions</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Credit Rating</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Coupon</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w w:val="99"/>
              </w:rPr>
              <w:t>Cost Basis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9"/>
              </w:rPr>
              <w:t>Cost Basis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0" w:type="dxa"/>
            <w:vAlign w:val="bottom"/>
          </w:tcPr>
          <w:p>
            <w:pPr>
              <w:spacing w:after="0"/>
              <w:rPr>
                <w:sz w:val="1"/>
                <w:szCs w:val="1"/>
                <w:color w:val="auto"/>
              </w:rPr>
            </w:pPr>
          </w:p>
        </w:tc>
      </w:tr>
      <w:tr>
        <w:trPr>
          <w:trHeight w:val="171"/>
        </w:trPr>
        <w:tc>
          <w:tcPr>
            <w:tcW w:w="20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Commercial Mortgage Loan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7"/>
              </w:rPr>
              <w:t>Not Rated</w:t>
            </w: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4"/>
                <w:szCs w:val="14"/>
                <w:color w:val="auto"/>
              </w:rPr>
              <w:t>SOFR</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+ 2.52%</w:t>
            </w: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center"/>
              <w:ind w:right="120"/>
              <w:spacing w:after="0" w:line="172" w:lineRule="exact"/>
              <w:rPr>
                <w:sz w:val="20"/>
                <w:szCs w:val="20"/>
                <w:color w:val="auto"/>
              </w:rPr>
            </w:pPr>
            <w:r>
              <w:rPr>
                <w:rFonts w:ascii="Times New Roman" w:cs="Times New Roman" w:eastAsia="Times New Roman" w:hAnsi="Times New Roman"/>
                <w:sz w:val="15"/>
                <w:szCs w:val="15"/>
                <w:color w:val="auto"/>
              </w:rPr>
              <w:t>December 15, 2027</w:t>
            </w:r>
          </w:p>
        </w:tc>
        <w:tc>
          <w:tcPr>
            <w:tcW w:w="10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304,600</w:t>
            </w:r>
          </w:p>
        </w:tc>
        <w:tc>
          <w:tcPr>
            <w:tcW w:w="180" w:type="dxa"/>
            <w:vAlign w:val="bottom"/>
            <w:gridSpan w:val="2"/>
            <w:shd w:val="clear" w:color="auto" w:fill="CFF0FC"/>
          </w:tcPr>
          <w:p>
            <w:pPr>
              <w:jc w:val="right"/>
              <w:ind w:righ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304,573</w:t>
            </w:r>
          </w:p>
        </w:tc>
        <w:tc>
          <w:tcPr>
            <w:tcW w:w="200" w:type="dxa"/>
            <w:vAlign w:val="bottom"/>
            <w:gridSpan w:val="2"/>
            <w:shd w:val="clear" w:color="auto" w:fill="CFF0FC"/>
          </w:tcPr>
          <w:p>
            <w:pPr>
              <w:jc w:val="right"/>
              <w:ind w:right="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224,600</w:t>
            </w:r>
          </w:p>
        </w:tc>
        <w:tc>
          <w:tcPr>
            <w:tcW w:w="180" w:type="dxa"/>
            <w:vAlign w:val="bottom"/>
            <w:gridSpan w:val="2"/>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224,600</w:t>
            </w:r>
          </w:p>
        </w:tc>
        <w:tc>
          <w:tcPr>
            <w:tcW w:w="0" w:type="dxa"/>
            <w:vAlign w:val="bottom"/>
          </w:tcPr>
          <w:p>
            <w:pPr>
              <w:spacing w:after="0"/>
              <w:rPr>
                <w:sz w:val="1"/>
                <w:szCs w:val="1"/>
                <w:color w:val="auto"/>
              </w:rPr>
            </w:pPr>
          </w:p>
        </w:tc>
      </w:tr>
    </w:tbl>
    <w:p>
      <w:pPr>
        <w:ind w:left="160" w:hanging="150"/>
        <w:spacing w:after="0" w:line="208" w:lineRule="auto"/>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“SOFR” refers to the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718058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452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Investments in real estate-related and other securities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360" w:type="dxa"/>
            <w:vAlign w:val="bottom"/>
            <w:gridSpan w:val="20"/>
          </w:tcPr>
          <w:p>
            <w:pPr>
              <w:spacing w:after="0"/>
              <w:rPr>
                <w:sz w:val="20"/>
                <w:szCs w:val="20"/>
                <w:color w:val="auto"/>
              </w:rPr>
            </w:pPr>
            <w:r>
              <w:rPr>
                <w:rFonts w:ascii="Times New Roman" w:cs="Times New Roman" w:eastAsia="Times New Roman" w:hAnsi="Times New Roman"/>
                <w:sz w:val="15"/>
                <w:szCs w:val="15"/>
                <w:color w:val="auto"/>
              </w:rPr>
              <w:t>The following table summarizes our investments in real estate-related and other securities as of March 31, 2026 and December 31, 2025 ($ in thousands):</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Weighted-</w:t>
            </w: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31, 2025</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Real Estate-Related and</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Weighted-Average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rPr>
              <w:t>Fair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5"/>
              </w:rPr>
              <w:t>Cost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198"/>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Other Securities</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Coupon</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1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Face Amount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Basis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Face Amount</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w w:val="95"/>
              </w:rPr>
              <w:t>Basis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171"/>
        </w:trPr>
        <w:tc>
          <w:tcPr>
            <w:tcW w:w="19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CMBS</w:t>
            </w:r>
          </w:p>
        </w:tc>
        <w:tc>
          <w:tcPr>
            <w:tcW w:w="1040" w:type="dxa"/>
            <w:vAlign w:val="bottom"/>
            <w:gridSpan w:val="2"/>
            <w:shd w:val="clear" w:color="auto" w:fill="CFF0FC"/>
          </w:tcPr>
          <w:p>
            <w:pPr>
              <w:jc w:val="center"/>
              <w:ind w:left="25"/>
              <w:spacing w:after="0" w:line="172" w:lineRule="exact"/>
              <w:rPr>
                <w:sz w:val="20"/>
                <w:szCs w:val="20"/>
                <w:color w:val="auto"/>
              </w:rPr>
            </w:pPr>
            <w:r>
              <w:rPr>
                <w:rFonts w:ascii="Times New Roman" w:cs="Times New Roman" w:eastAsia="Times New Roman" w:hAnsi="Times New Roman"/>
                <w:sz w:val="15"/>
                <w:szCs w:val="15"/>
                <w:color w:val="auto"/>
                <w:w w:val="95"/>
              </w:rPr>
              <w:t>6.7%</w:t>
            </w: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rPr>
              <w:t>August 28, 2039</w:t>
            </w:r>
          </w:p>
        </w:tc>
        <w:tc>
          <w:tcPr>
            <w:tcW w:w="420" w:type="dxa"/>
            <w:vAlign w:val="bottom"/>
            <w:gridSpan w:val="2"/>
            <w:shd w:val="clear" w:color="auto" w:fill="CFF0FC"/>
          </w:tcPr>
          <w:p>
            <w:pPr>
              <w:jc w:val="right"/>
              <w:ind w:right="165"/>
              <w:spacing w:after="0" w:line="17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15,000</w:t>
            </w:r>
          </w:p>
        </w:tc>
        <w:tc>
          <w:tcPr>
            <w:tcW w:w="32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15,107</w:t>
            </w:r>
          </w:p>
        </w:tc>
        <w:tc>
          <w:tcPr>
            <w:tcW w:w="30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15,095</w:t>
            </w:r>
          </w:p>
        </w:tc>
        <w:tc>
          <w:tcPr>
            <w:tcW w:w="400" w:type="dxa"/>
            <w:vAlign w:val="bottom"/>
            <w:gridSpan w:val="2"/>
            <w:shd w:val="clear" w:color="auto" w:fill="CFF0FC"/>
          </w:tcPr>
          <w:p>
            <w:pPr>
              <w:jc w:val="right"/>
              <w:ind w:right="145"/>
              <w:spacing w:after="0" w:line="17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line="172" w:lineRule="exact"/>
              <w:rPr>
                <w:sz w:val="20"/>
                <w:szCs w:val="20"/>
                <w:color w:val="auto"/>
              </w:rPr>
            </w:pPr>
            <w:r>
              <w:rPr>
                <w:rFonts w:ascii="Times New Roman" w:cs="Times New Roman" w:eastAsia="Times New Roman" w:hAnsi="Times New Roman"/>
                <w:sz w:val="15"/>
                <w:szCs w:val="15"/>
                <w:color w:val="auto"/>
              </w:rPr>
              <w:t>15,000</w:t>
            </w:r>
          </w:p>
        </w:tc>
        <w:tc>
          <w:tcPr>
            <w:tcW w:w="360" w:type="dxa"/>
            <w:vAlign w:val="bottom"/>
            <w:gridSpan w:val="3"/>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15,107</w:t>
            </w:r>
          </w:p>
        </w:tc>
        <w:tc>
          <w:tcPr>
            <w:tcW w:w="8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1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rPr>
              <w:t>15,323</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set forth information regarding our consolidated results of operations ($ in thousands, except per 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vMerge w:val="restart"/>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65"/>
              <w:spacing w:after="0" w:line="172" w:lineRule="exact"/>
              <w:rPr>
                <w:sz w:val="20"/>
                <w:szCs w:val="20"/>
                <w:color w:val="auto"/>
              </w:rPr>
            </w:pPr>
            <w:r>
              <w:rPr>
                <w:rFonts w:ascii="Times New Roman" w:cs="Times New Roman" w:eastAsia="Times New Roman" w:hAnsi="Times New Roman"/>
                <w:sz w:val="15"/>
                <w:szCs w:val="15"/>
                <w:b w:val="1"/>
                <w:bCs w:val="1"/>
                <w:color w:val="auto"/>
              </w:rPr>
              <w:t>2026</w:t>
            </w:r>
          </w:p>
        </w:tc>
        <w:tc>
          <w:tcPr>
            <w:tcW w:w="720" w:type="dxa"/>
            <w:vAlign w:val="bottom"/>
          </w:tcPr>
          <w:p>
            <w:pPr>
              <w:spacing w:after="0"/>
              <w:rPr>
                <w:sz w:val="14"/>
                <w:szCs w:val="14"/>
                <w:color w:val="auto"/>
              </w:rPr>
            </w:pPr>
          </w:p>
        </w:tc>
        <w:tc>
          <w:tcPr>
            <w:tcW w:w="1360" w:type="dxa"/>
            <w:vAlign w:val="bottom"/>
            <w:gridSpan w:val="2"/>
          </w:tcPr>
          <w:p>
            <w:pPr>
              <w:jc w:val="right"/>
              <w:ind w:right="200"/>
              <w:spacing w:after="0" w:line="172" w:lineRule="exact"/>
              <w:rPr>
                <w:sz w:val="20"/>
                <w:szCs w:val="20"/>
                <w:color w:val="auto"/>
              </w:rPr>
            </w:pPr>
            <w:r>
              <w:rPr>
                <w:rFonts w:ascii="Times New Roman" w:cs="Times New Roman" w:eastAsia="Times New Roman" w:hAnsi="Times New Roman"/>
                <w:sz w:val="15"/>
                <w:szCs w:val="15"/>
                <w:b w:val="1"/>
                <w:bCs w:val="1"/>
                <w:color w:val="auto"/>
              </w:rPr>
              <w:t>2025</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Revenues</w:t>
            </w:r>
          </w:p>
        </w:tc>
        <w:tc>
          <w:tcPr>
            <w:tcW w:w="11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Rental revenue</w:t>
            </w: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29,672</w:t>
            </w:r>
          </w:p>
        </w:tc>
        <w:tc>
          <w:tcPr>
            <w:tcW w:w="1360" w:type="dxa"/>
            <w:vAlign w:val="bottom"/>
            <w:gridSpan w:val="2"/>
          </w:tcPr>
          <w:p>
            <w:pPr>
              <w:jc w:val="right"/>
              <w:ind w:right="11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8,270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21,402</w:t>
            </w:r>
          </w:p>
        </w:tc>
        <w:tc>
          <w:tcPr>
            <w:tcW w:w="0" w:type="dxa"/>
            <w:vAlign w:val="bottom"/>
          </w:tcPr>
          <w:p>
            <w:pPr>
              <w:spacing w:after="0"/>
              <w:rPr>
                <w:sz w:val="1"/>
                <w:szCs w:val="1"/>
                <w:color w:val="auto"/>
              </w:rPr>
            </w:pPr>
          </w:p>
        </w:tc>
      </w:tr>
      <w:tr>
        <w:trPr>
          <w:trHeight w:val="171"/>
        </w:trPr>
        <w:tc>
          <w:tcPr>
            <w:tcW w:w="572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revenues</w:t>
            </w:r>
          </w:p>
        </w:tc>
        <w:tc>
          <w:tcPr>
            <w:tcW w:w="11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29,672</w:t>
            </w:r>
          </w:p>
        </w:tc>
        <w:tc>
          <w:tcPr>
            <w:tcW w:w="16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8,270</w:t>
            </w: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21,402</w:t>
            </w:r>
          </w:p>
        </w:tc>
        <w:tc>
          <w:tcPr>
            <w:tcW w:w="0" w:type="dxa"/>
            <w:vAlign w:val="bottom"/>
          </w:tcPr>
          <w:p>
            <w:pPr>
              <w:spacing w:after="0"/>
              <w:rPr>
                <w:sz w:val="1"/>
                <w:szCs w:val="1"/>
                <w:color w:val="auto"/>
              </w:rPr>
            </w:pPr>
          </w:p>
        </w:tc>
      </w:tr>
      <w:tr>
        <w:trPr>
          <w:trHeight w:val="180"/>
        </w:trPr>
        <w:tc>
          <w:tcPr>
            <w:tcW w:w="5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Rental property operating</w:t>
            </w: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11,292</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3,033</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8,259</w:t>
            </w:r>
          </w:p>
        </w:tc>
        <w:tc>
          <w:tcPr>
            <w:tcW w:w="0" w:type="dxa"/>
            <w:vAlign w:val="bottom"/>
          </w:tcPr>
          <w:p>
            <w:pPr>
              <w:spacing w:after="0"/>
              <w:rPr>
                <w:sz w:val="1"/>
                <w:szCs w:val="1"/>
                <w:color w:val="auto"/>
              </w:rPr>
            </w:pPr>
          </w:p>
        </w:tc>
      </w:tr>
      <w:tr>
        <w:trPr>
          <w:trHeight w:val="180"/>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60" w:type="dxa"/>
            <w:vAlign w:val="bottom"/>
          </w:tcPr>
          <w:p>
            <w:pPr>
              <w:spacing w:after="0"/>
              <w:rPr>
                <w:sz w:val="15"/>
                <w:szCs w:val="15"/>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1,845</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1,647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14,948</w:t>
            </w:r>
          </w:p>
        </w:tc>
        <w:tc>
          <w:tcPr>
            <w:tcW w:w="1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3,558</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11,390</w:t>
            </w:r>
          </w:p>
        </w:tc>
        <w:tc>
          <w:tcPr>
            <w:tcW w:w="0" w:type="dxa"/>
            <w:vAlign w:val="bottom"/>
          </w:tcPr>
          <w:p>
            <w:pPr>
              <w:spacing w:after="0"/>
              <w:rPr>
                <w:sz w:val="1"/>
                <w:szCs w:val="1"/>
                <w:color w:val="auto"/>
              </w:rPr>
            </w:pPr>
          </w:p>
        </w:tc>
      </w:tr>
      <w:tr>
        <w:trPr>
          <w:trHeight w:val="171"/>
        </w:trPr>
        <w:tc>
          <w:tcPr>
            <w:tcW w:w="572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expenses</w:t>
            </w:r>
          </w:p>
        </w:tc>
        <w:tc>
          <w:tcPr>
            <w:tcW w:w="1160" w:type="dxa"/>
            <w:vAlign w:val="bottom"/>
          </w:tcPr>
          <w:p>
            <w:pPr>
              <w:spacing w:after="0"/>
              <w:rPr>
                <w:sz w:val="14"/>
                <w:szCs w:val="14"/>
                <w:color w:val="auto"/>
              </w:rPr>
            </w:pPr>
          </w:p>
        </w:tc>
        <w:tc>
          <w:tcPr>
            <w:tcW w:w="7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28,085</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8,238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19,847</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Other income (expense), net</w:t>
            </w: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Income from investments in real estate debt</w:t>
            </w:r>
          </w:p>
        </w:tc>
        <w:tc>
          <w:tcPr>
            <w:tcW w:w="1160" w:type="dxa"/>
            <w:vAlign w:val="bottom"/>
          </w:tcPr>
          <w:p>
            <w:pPr>
              <w:spacing w:after="0"/>
              <w:rPr>
                <w:sz w:val="15"/>
                <w:szCs w:val="15"/>
                <w:color w:val="auto"/>
              </w:rPr>
            </w:pP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5,182</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1,478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3,704</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Income from investments in real estate-related and other securities</w:t>
            </w: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23</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1,081</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(1,058)</w:t>
            </w:r>
          </w:p>
        </w:tc>
        <w:tc>
          <w:tcPr>
            <w:tcW w:w="0" w:type="dxa"/>
            <w:vAlign w:val="bottom"/>
          </w:tcPr>
          <w:p>
            <w:pPr>
              <w:spacing w:after="0"/>
              <w:rPr>
                <w:sz w:val="1"/>
                <w:szCs w:val="1"/>
                <w:color w:val="auto"/>
              </w:rPr>
            </w:pPr>
          </w:p>
        </w:tc>
      </w:tr>
      <w:tr>
        <w:trPr>
          <w:trHeight w:val="180"/>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Mandatorily redeemable instruments interest costs</w:t>
            </w:r>
          </w:p>
        </w:tc>
        <w:tc>
          <w:tcPr>
            <w:tcW w:w="11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(573)</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(1,186)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613</w:t>
            </w:r>
          </w:p>
        </w:tc>
        <w:tc>
          <w:tcPr>
            <w:tcW w:w="0" w:type="dxa"/>
            <w:vAlign w:val="bottom"/>
          </w:tcPr>
          <w:p>
            <w:pPr>
              <w:spacing w:after="0"/>
              <w:rPr>
                <w:sz w:val="1"/>
                <w:szCs w:val="1"/>
                <w:color w:val="auto"/>
              </w:rPr>
            </w:pPr>
          </w:p>
        </w:tc>
      </w:tr>
      <w:tr>
        <w:trPr>
          <w:trHeight w:val="180"/>
        </w:trPr>
        <w:tc>
          <w:tcPr>
            <w:tcW w:w="5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Interest expense</w:t>
            </w: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(9,310)</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(2,488)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(6,822)</w:t>
            </w:r>
          </w:p>
        </w:tc>
        <w:tc>
          <w:tcPr>
            <w:tcW w:w="0" w:type="dxa"/>
            <w:vAlign w:val="bottom"/>
          </w:tcPr>
          <w:p>
            <w:pPr>
              <w:spacing w:after="0"/>
              <w:rPr>
                <w:sz w:val="1"/>
                <w:szCs w:val="1"/>
                <w:color w:val="auto"/>
              </w:rPr>
            </w:pPr>
          </w:p>
        </w:tc>
      </w:tr>
      <w:tr>
        <w:trPr>
          <w:trHeight w:val="180"/>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Other income, net</w:t>
            </w:r>
          </w:p>
        </w:tc>
        <w:tc>
          <w:tcPr>
            <w:tcW w:w="1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114</w:t>
            </w:r>
          </w:p>
        </w:tc>
        <w:tc>
          <w:tcPr>
            <w:tcW w:w="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2,743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(2,629)</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gridSpan w:val="2"/>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other (expense) income, net</w:t>
            </w:r>
          </w:p>
        </w:tc>
        <w:tc>
          <w:tcPr>
            <w:tcW w:w="1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(4,564)</w:t>
            </w:r>
          </w:p>
        </w:tc>
        <w:tc>
          <w:tcPr>
            <w:tcW w:w="16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1,628</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(6,192)</w:t>
            </w:r>
          </w:p>
        </w:tc>
        <w:tc>
          <w:tcPr>
            <w:tcW w:w="0" w:type="dxa"/>
            <w:vAlign w:val="bottom"/>
          </w:tcPr>
          <w:p>
            <w:pPr>
              <w:spacing w:after="0"/>
              <w:rPr>
                <w:sz w:val="1"/>
                <w:szCs w:val="1"/>
                <w:color w:val="auto"/>
              </w:rPr>
            </w:pPr>
          </w:p>
        </w:tc>
      </w:tr>
      <w:tr>
        <w:trPr>
          <w:trHeight w:val="171"/>
        </w:trPr>
        <w:tc>
          <w:tcPr>
            <w:tcW w:w="572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(loss) income</w:t>
            </w:r>
          </w:p>
        </w:tc>
        <w:tc>
          <w:tcPr>
            <w:tcW w:w="1160" w:type="dxa"/>
            <w:vAlign w:val="bottom"/>
          </w:tcPr>
          <w:p>
            <w:pPr>
              <w:jc w:val="right"/>
              <w:ind w:right="100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(2,977)</w:t>
            </w:r>
          </w:p>
        </w:tc>
        <w:tc>
          <w:tcPr>
            <w:tcW w:w="1360" w:type="dxa"/>
            <w:vAlign w:val="bottom"/>
            <w:gridSpan w:val="2"/>
          </w:tcPr>
          <w:p>
            <w:pPr>
              <w:jc w:val="right"/>
              <w:ind w:right="1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1,660</w:t>
            </w:r>
          </w:p>
        </w:tc>
        <w:tc>
          <w:tcPr>
            <w:tcW w:w="40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(4,637)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20" w:type="dxa"/>
            <w:vAlign w:val="bottom"/>
            <w:tcBorders>
              <w:bottom w:val="single" w:sz="8" w:color="CFF0FC"/>
            </w:tcBorders>
            <w:gridSpan w:val="2"/>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Net loss attributable to non-controlling interests in consolidated joint ventures</w:t>
            </w:r>
          </w:p>
        </w:tc>
        <w:tc>
          <w:tcPr>
            <w:tcW w:w="1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(199)</w:t>
            </w:r>
          </w:p>
        </w:tc>
        <w:tc>
          <w:tcPr>
            <w:tcW w:w="16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(21)</w:t>
            </w:r>
          </w:p>
        </w:tc>
        <w:tc>
          <w:tcPr>
            <w:tcW w:w="1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171"/>
        </w:trPr>
        <w:tc>
          <w:tcPr>
            <w:tcW w:w="572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(loss) income attributable to JPMREIT stockholders</w:t>
            </w:r>
          </w:p>
        </w:tc>
        <w:tc>
          <w:tcPr>
            <w:tcW w:w="1160" w:type="dxa"/>
            <w:vAlign w:val="bottom"/>
          </w:tcPr>
          <w:p>
            <w:pPr>
              <w:jc w:val="right"/>
              <w:ind w:right="100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(2,778)</w:t>
            </w:r>
          </w:p>
        </w:tc>
        <w:tc>
          <w:tcPr>
            <w:tcW w:w="1360" w:type="dxa"/>
            <w:vAlign w:val="bottom"/>
            <w:gridSpan w:val="2"/>
          </w:tcPr>
          <w:p>
            <w:pPr>
              <w:jc w:val="right"/>
              <w:ind w:right="1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1,681</w:t>
            </w:r>
          </w:p>
        </w:tc>
        <w:tc>
          <w:tcPr>
            <w:tcW w:w="40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(4,459)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20" w:type="dxa"/>
            <w:vAlign w:val="bottom"/>
            <w:gridSpan w:val="2"/>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Net (loss) income per share of common stock – basic</w:t>
            </w:r>
          </w:p>
        </w:tc>
        <w:tc>
          <w:tcPr>
            <w:tcW w:w="1160" w:type="dxa"/>
            <w:vAlign w:val="bottom"/>
            <w:shd w:val="clear" w:color="auto" w:fill="CFF0FC"/>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1360" w:type="dxa"/>
            <w:vAlign w:val="bottom"/>
            <w:gridSpan w:val="2"/>
            <w:shd w:val="clear" w:color="auto" w:fill="CFF0FC"/>
          </w:tcPr>
          <w:p>
            <w:pPr>
              <w:jc w:val="right"/>
              <w:ind w:right="11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ind w:right="8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400" w:type="dxa"/>
            <w:vAlign w:val="bottom"/>
            <w:gridSpan w:val="2"/>
            <w:shd w:val="clear" w:color="auto" w:fill="CFF0FC"/>
          </w:tcPr>
          <w:p>
            <w:pPr>
              <w:jc w:val="right"/>
              <w:ind w:right="18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2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Net (loss) income per share of common stock – diluted</w:t>
            </w:r>
          </w:p>
        </w:tc>
        <w:tc>
          <w:tcPr>
            <w:tcW w:w="1160" w:type="dxa"/>
            <w:vAlign w:val="bottom"/>
          </w:tcPr>
          <w:p>
            <w:pPr>
              <w:jc w:val="right"/>
              <w:ind w:right="1005"/>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2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1360" w:type="dxa"/>
            <w:vAlign w:val="bottom"/>
            <w:gridSpan w:val="2"/>
          </w:tcPr>
          <w:p>
            <w:pPr>
              <w:jc w:val="right"/>
              <w:ind w:right="1140"/>
              <w:spacing w:after="0" w:line="154"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85"/>
              <w:spacing w:after="0" w:line="154" w:lineRule="exact"/>
              <w:rPr>
                <w:sz w:val="20"/>
                <w:szCs w:val="20"/>
                <w:color w:val="auto"/>
              </w:rPr>
            </w:pPr>
            <w:r>
              <w:rPr>
                <w:rFonts w:ascii="Times New Roman" w:cs="Times New Roman" w:eastAsia="Times New Roman" w:hAnsi="Times New Roman"/>
                <w:sz w:val="15"/>
                <w:szCs w:val="15"/>
                <w:color w:val="auto"/>
              </w:rPr>
              <w:t>0.03</w:t>
            </w:r>
          </w:p>
        </w:tc>
        <w:tc>
          <w:tcPr>
            <w:tcW w:w="400" w:type="dxa"/>
            <w:vAlign w:val="bottom"/>
            <w:gridSpan w:val="2"/>
          </w:tcPr>
          <w:p>
            <w:pPr>
              <w:jc w:val="right"/>
              <w:ind w:right="180"/>
              <w:spacing w:after="0" w:line="154"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ind w:right="5"/>
              <w:spacing w:after="0" w:line="154" w:lineRule="exact"/>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tcBorders>
              <w:bottom w:val="single" w:sz="8" w:color="CFF0FC"/>
            </w:tcBorders>
            <w:shd w:val="clear" w:color="auto" w:fill="CFF0FC"/>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Weighted-average shares of common stock outstanding – basic</w:t>
            </w:r>
          </w:p>
        </w:tc>
        <w:tc>
          <w:tcPr>
            <w:tcW w:w="160" w:type="dxa"/>
            <w:vAlign w:val="bottom"/>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82,216</w:t>
            </w:r>
          </w:p>
        </w:tc>
        <w:tc>
          <w:tcPr>
            <w:tcW w:w="1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50,719</w:t>
            </w:r>
          </w:p>
        </w:tc>
        <w:tc>
          <w:tcPr>
            <w:tcW w:w="140" w:type="dxa"/>
            <w:vAlign w:val="bottom"/>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31,497</w:t>
            </w:r>
          </w:p>
        </w:tc>
        <w:tc>
          <w:tcPr>
            <w:tcW w:w="0" w:type="dxa"/>
            <w:vAlign w:val="bottom"/>
          </w:tcPr>
          <w:p>
            <w:pPr>
              <w:spacing w:after="0"/>
              <w:rPr>
                <w:sz w:val="1"/>
                <w:szCs w:val="1"/>
                <w:color w:val="auto"/>
              </w:rPr>
            </w:pPr>
          </w:p>
        </w:tc>
      </w:tr>
      <w:tr>
        <w:trPr>
          <w:trHeight w:val="164"/>
        </w:trPr>
        <w:tc>
          <w:tcPr>
            <w:tcW w:w="572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Weighted-average shares of common stock outstanding – diluted</w:t>
            </w:r>
          </w:p>
        </w:tc>
        <w:tc>
          <w:tcPr>
            <w:tcW w:w="1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82,216</w:t>
            </w:r>
          </w:p>
        </w:tc>
        <w:tc>
          <w:tcPr>
            <w:tcW w:w="1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5"/>
              <w:spacing w:after="0" w:line="164" w:lineRule="exact"/>
              <w:rPr>
                <w:sz w:val="20"/>
                <w:szCs w:val="20"/>
                <w:color w:val="auto"/>
              </w:rPr>
            </w:pPr>
            <w:r>
              <w:rPr>
                <w:rFonts w:ascii="Times New Roman" w:cs="Times New Roman" w:eastAsia="Times New Roman" w:hAnsi="Times New Roman"/>
                <w:sz w:val="15"/>
                <w:szCs w:val="15"/>
                <w:color w:val="auto"/>
              </w:rPr>
              <w:t>50,724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
              <w:spacing w:after="0" w:line="164" w:lineRule="exact"/>
              <w:rPr>
                <w:sz w:val="20"/>
                <w:szCs w:val="20"/>
                <w:color w:val="auto"/>
              </w:rPr>
            </w:pPr>
            <w:r>
              <w:rPr>
                <w:rFonts w:ascii="Times New Roman" w:cs="Times New Roman" w:eastAsia="Times New Roman" w:hAnsi="Times New Roman"/>
                <w:sz w:val="15"/>
                <w:szCs w:val="15"/>
                <w:color w:val="auto"/>
              </w:rPr>
              <w:t>31,492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4824095</wp:posOffset>
            </wp:positionH>
            <wp:positionV relativeFrom="paragraph">
              <wp:posOffset>-1880870</wp:posOffset>
            </wp:positionV>
            <wp:extent cx="9969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-1880870</wp:posOffset>
            </wp:positionV>
            <wp:extent cx="927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-954405</wp:posOffset>
            </wp:positionV>
            <wp:extent cx="9969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-954405</wp:posOffset>
            </wp:positionV>
            <wp:extent cx="927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-697865</wp:posOffset>
            </wp:positionV>
            <wp:extent cx="9969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-697865</wp:posOffset>
            </wp:positionV>
            <wp:extent cx="927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-441325</wp:posOffset>
            </wp:positionV>
            <wp:extent cx="9969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-426720</wp:posOffset>
            </wp:positionV>
            <wp:extent cx="9969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-441325</wp:posOffset>
            </wp:positionV>
            <wp:extent cx="9271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-426720</wp:posOffset>
            </wp:positionV>
            <wp:extent cx="9271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-163195</wp:posOffset>
            </wp:positionV>
            <wp:extent cx="9969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-149225</wp:posOffset>
            </wp:positionV>
            <wp:extent cx="9969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9695" cy="698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Rental revenue</w:t>
      </w:r>
    </w:p>
    <w:p>
      <w:pPr>
        <w:spacing w:after="0" w:line="9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5"/>
          <w:szCs w:val="15"/>
          <w:color w:val="auto"/>
        </w:rPr>
        <w:t>Due to our acquisitions of real estate since March 31, 2025, our rental revenue for the three months ended March 31, 2026 and March 31, 2025 is not comparable. Rental revenue primarily consists of base rent arising from tenant leases at our multifamily, single-family rental, industrial and retail properties. Rental revenue, aside from short-term leases generally less than one year in term, is recognized on a straight-line basis over the life of the lease, including any fixed and measurable rent escalations and abatements.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Rental property operating expenses</w:t>
      </w:r>
    </w:p>
    <w:p>
      <w:pPr>
        <w:spacing w:after="0" w:line="9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5"/>
          <w:szCs w:val="15"/>
          <w:color w:val="auto"/>
        </w:rPr>
        <w:t>Rental property operating expenses consist of the costs of ownership and operation of our real estate investments. Examples of rental property operating expenses include insurance, utilities, real estate taxes and repair and maintenance expenses. Due to our acquisitions of real estate since March 31, 2025, our rental property operating expenses for the three months ended March 31, 2026 and March 31, 2025 are not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7180580"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9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During the three months ended March 31, 2026, general and administrative expenses increased by $0.2 million, in comparison to the corresponding period in 2025. The increase was primarily due to an increase of $0.3 million in performance participation allocation, and an increase of $0.2 million in asset management fees, partially offset by a decrease of $0.3 million in legal and professional fees.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Depreciation and amortization expenses</w:t>
      </w:r>
    </w:p>
    <w:p>
      <w:pPr>
        <w:spacing w:after="0" w:line="9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5"/>
          <w:szCs w:val="15"/>
          <w:color w:val="auto"/>
        </w:rPr>
        <w:t>Depreciation and amortization expenses are impacted by the fair values assigned to buildings, personal property and in-place lease assets as part of the initial purchase price allocation. During the three months ended March 31, 2026, depreciation and amortization expenses increased by $11.4 million in comparison to the corresponding period in 2025. Depreciation and amortization expense increased as compared to the corresponding periods in 2025 due to our acquisitions of real estate since March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from investments in real estate debt</w:t>
      </w:r>
    </w:p>
    <w:p>
      <w:pPr>
        <w:spacing w:after="0" w:line="9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income from investments in real estate debt increased by $3.7 million in comparison to the corresponding period in 2025 primarily due to the $225.3 million of real estate debt originated since March 31,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Income from investments in real estate-related and other securities</w:t>
      </w:r>
    </w:p>
    <w:p>
      <w:pPr>
        <w:spacing w:after="0" w:line="9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income from investments in real estate-related and other securities decreased by $1.1 million in comparison to the corresponding period in 2025. The decrease was primarily due to a decrease in interest income of $0.3 million and a decrease in net unrealized gain of $0.8 million.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Mandatorily redeemable instruments interest costs</w:t>
      </w:r>
    </w:p>
    <w:p>
      <w:pPr>
        <w:spacing w:after="0" w:line="9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mandatorily redeemable instruments interest costs decreased by $0.6 million in comparison to the corresponding period in 2025 primarily due to a decrease in distributions declared of $0.7 million, partially offset by an increase in redemption value adjustment of $0.1 million due to repurchases during the year.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99"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5"/>
          <w:szCs w:val="15"/>
          <w:color w:val="auto"/>
        </w:rPr>
        <w:t>During the three months ended March 31, 2026, interest expense increased by $6.8 million, in comparison to the corresponding period in 2025. Interest expense primarily consists of interest expense incurred on our mortgage notes, Repurchase Facility and the Credit Facility. The change in interest expense was primarily attributable to an increase in interest expense relating to our new mortgage notes and an increase in borrowings under the Repurchase Facility and the Credit Facility since March 31, 2025.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income, net</w:t>
      </w:r>
    </w:p>
    <w:p>
      <w:pPr>
        <w:spacing w:after="0" w:line="9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other income, net decreased by $2.6 million in comparison to the corresponding period in 2025 primarily due to a decrease of $2.6 million in interest income from our investment in a money market fund.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loss attributable to non-controlling interests in consolidated joint ventures</w:t>
      </w:r>
    </w:p>
    <w:p>
      <w:pPr>
        <w:spacing w:after="0" w:line="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net loss attributable to non-controlling interests in consolidated joint ventures increased by $0.2 million in comparison to the corresponding period in 2025 primarily due to the non-controlling interest held by our joint venture partners in properties acquired since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541020</wp:posOffset>
            </wp:positionV>
            <wp:extent cx="718058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color w:val="auto"/>
        </w:rPr>
        <w:t>Funds from Operations and Adjusted Funds from Operations</w:t>
      </w:r>
    </w:p>
    <w:p>
      <w:pPr>
        <w:spacing w:after="0" w:line="1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We believe funds from operations (“FFO”) is a meaningful supplemental non-GAAP operating measure, which should be considered along with, but not as an alternative to, net (loss) income as a measure of operating performance. Our condensed consolidated financial statements are presented under historical cost accounting which, among other things, requires depreciation of real estate investments to be calculated on a straight-line basis. As a result, our operating results imply that the value of our real estate investments will decrease evenly over a set time period. However, we believe that the value of real estate investments will change over time based on market conditions and as such, depreciation under historical cost accounting may be less informative. FFO is a standard REIT industry measure defined by the National Association of Real Estate Investment Trusts (“Nareit”).</w:t>
      </w:r>
    </w:p>
    <w:p>
      <w:pPr>
        <w:spacing w:after="0" w:line="6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5"/>
          <w:szCs w:val="15"/>
          <w:color w:val="auto"/>
        </w:rPr>
        <w:t>FFO, as defined by Nareit and presented below, is calculated as net income or loss (computed in accordance with GAAP), excluding (i) depreciation and amortization, (ii) impairment of investments in real estate, (iii) net gains or losses from sales of real estate, (iv) net gains or losses from change in control, and (v) similar adjustments for non-controlling interests and unconsolidated entities.</w:t>
      </w:r>
    </w:p>
    <w:p>
      <w:pPr>
        <w:spacing w:after="0" w:line="1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5"/>
          <w:szCs w:val="15"/>
          <w:color w:val="auto"/>
        </w:rPr>
        <w:t>We also believe that adjusted FFO (“AFFO”) is a meaningful supplemental non-GAAP disclosure of our operating results. AFFO further adjusts FFO in order for our operating results to reflect the specific characteristics of our business by adjusting for items we believe are not related to our core operations. Our adjustments to FFO to arrive at AFFO include removing the impact of (i) straight-line rental income and expense, (ii) amortization of above- and below-market lease intangibles, net, (iii) unrealized gains or losses in fair value of financial instruments, (iv) non-cash performance participation allocation, (v) organization costs, (vi) amortization of deferred financing costs, (vii) amortization of restricted stock awards, (viii) amortization of mortgage premium/discount, and (ix) similar adjustments for unconsolidated joint ventures. AFFO is not defined by Nareit and our calculation of AFFO may not be comparable to disclosures made by other REITs.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presents a reconciliation of net loss attributable to stockholders to FFO and AFFO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80" w:type="dxa"/>
            <w:vAlign w:val="bottom"/>
          </w:tcPr>
          <w:p>
            <w:pPr>
              <w:spacing w:after="0"/>
              <w:rPr>
                <w:sz w:val="17"/>
                <w:szCs w:val="17"/>
                <w:color w:val="auto"/>
              </w:rPr>
            </w:pPr>
          </w:p>
        </w:tc>
        <w:tc>
          <w:tcPr>
            <w:tcW w:w="37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w:t>
            </w:r>
          </w:p>
        </w:tc>
        <w:tc>
          <w:tcPr>
            <w:tcW w:w="740" w:type="dxa"/>
            <w:vAlign w:val="bottom"/>
            <w:tcBorders>
              <w:bottom w:val="single" w:sz="8" w:color="auto"/>
            </w:tcBorders>
          </w:tcPr>
          <w:p>
            <w:pPr>
              <w:spacing w:after="0"/>
              <w:rPr>
                <w:sz w:val="17"/>
                <w:szCs w:val="17"/>
                <w:color w:val="auto"/>
              </w:rPr>
            </w:pPr>
          </w:p>
        </w:tc>
      </w:tr>
      <w:tr>
        <w:trPr>
          <w:trHeight w:val="171"/>
        </w:trPr>
        <w:tc>
          <w:tcPr>
            <w:tcW w:w="6780" w:type="dxa"/>
            <w:vAlign w:val="bottom"/>
          </w:tcPr>
          <w:p>
            <w:pPr>
              <w:spacing w:after="0"/>
              <w:rPr>
                <w:sz w:val="14"/>
                <w:szCs w:val="14"/>
                <w:color w:val="auto"/>
              </w:rPr>
            </w:pPr>
          </w:p>
        </w:tc>
        <w:tc>
          <w:tcPr>
            <w:tcW w:w="1380" w:type="dxa"/>
            <w:vAlign w:val="bottom"/>
          </w:tcPr>
          <w:p>
            <w:pPr>
              <w:jc w:val="right"/>
              <w:ind w:right="145"/>
              <w:spacing w:after="0" w:line="172" w:lineRule="exact"/>
              <w:rPr>
                <w:sz w:val="20"/>
                <w:szCs w:val="20"/>
                <w:color w:val="auto"/>
              </w:rPr>
            </w:pPr>
            <w:r>
              <w:rPr>
                <w:rFonts w:ascii="Times New Roman" w:cs="Times New Roman" w:eastAsia="Times New Roman" w:hAnsi="Times New Roman"/>
                <w:sz w:val="15"/>
                <w:szCs w:val="15"/>
                <w:b w:val="1"/>
                <w:bCs w:val="1"/>
                <w:color w:val="auto"/>
              </w:rPr>
              <w:t>2026</w:t>
            </w:r>
          </w:p>
        </w:tc>
        <w:tc>
          <w:tcPr>
            <w:tcW w:w="780" w:type="dxa"/>
            <w:vAlign w:val="bottom"/>
          </w:tcPr>
          <w:p>
            <w:pPr>
              <w:spacing w:after="0"/>
              <w:rPr>
                <w:sz w:val="14"/>
                <w:szCs w:val="14"/>
                <w:color w:val="auto"/>
              </w:rPr>
            </w:pPr>
          </w:p>
        </w:tc>
        <w:tc>
          <w:tcPr>
            <w:tcW w:w="1600" w:type="dxa"/>
            <w:vAlign w:val="bottom"/>
            <w:gridSpan w:val="2"/>
          </w:tcPr>
          <w:p>
            <w:pPr>
              <w:jc w:val="right"/>
              <w:ind w:right="260"/>
              <w:spacing w:after="0" w:line="172" w:lineRule="exact"/>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Pr>
          <w:p>
            <w:pPr>
              <w:spacing w:after="0"/>
              <w:rPr>
                <w:sz w:val="14"/>
                <w:szCs w:val="14"/>
                <w:color w:val="auto"/>
              </w:rPr>
            </w:pPr>
          </w:p>
        </w:tc>
      </w:tr>
      <w:tr>
        <w:trPr>
          <w:trHeight w:val="18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loss attributable to JPMREIT stockholders</w:t>
            </w:r>
          </w:p>
        </w:tc>
        <w:tc>
          <w:tcPr>
            <w:tcW w:w="1380" w:type="dxa"/>
            <w:vAlign w:val="bottom"/>
            <w:shd w:val="clear" w:color="auto" w:fill="CFF0FC"/>
          </w:tcPr>
          <w:p>
            <w:pPr>
              <w:jc w:val="right"/>
              <w:ind w:right="1225"/>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(2,778)</w:t>
            </w:r>
          </w:p>
        </w:tc>
        <w:tc>
          <w:tcPr>
            <w:tcW w:w="1600" w:type="dxa"/>
            <w:vAlign w:val="bottom"/>
            <w:gridSpan w:val="2"/>
            <w:shd w:val="clear" w:color="auto" w:fill="CFF0FC"/>
          </w:tcPr>
          <w:p>
            <w:pPr>
              <w:jc w:val="right"/>
              <w:ind w:right="1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1,681</w:t>
            </w:r>
          </w:p>
        </w:tc>
      </w:tr>
      <w:tr>
        <w:trPr>
          <w:trHeight w:val="180"/>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 to arrive at FFO:</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Real estate depreciation and amortization</w:t>
            </w:r>
          </w:p>
        </w:tc>
        <w:tc>
          <w:tcPr>
            <w:tcW w:w="13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14,948</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3,558</w:t>
            </w:r>
          </w:p>
        </w:tc>
      </w:tr>
      <w:tr>
        <w:trPr>
          <w:trHeight w:val="180"/>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Amount attributable to non-controlling interests for above adjustments</w:t>
            </w:r>
          </w:p>
        </w:tc>
        <w:tc>
          <w:tcPr>
            <w:tcW w:w="1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(503)</w:t>
            </w:r>
          </w:p>
        </w:tc>
        <w:tc>
          <w:tcPr>
            <w:tcW w:w="1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(236)</w:t>
            </w:r>
          </w:p>
        </w:tc>
      </w:tr>
      <w:tr>
        <w:trPr>
          <w:trHeight w:val="171"/>
        </w:trPr>
        <w:tc>
          <w:tcPr>
            <w:tcW w:w="67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FFO attributable to stockholders</w:t>
            </w:r>
          </w:p>
        </w:tc>
        <w:tc>
          <w:tcPr>
            <w:tcW w:w="13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11,667</w:t>
            </w:r>
          </w:p>
        </w:tc>
        <w:tc>
          <w:tcPr>
            <w:tcW w:w="1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5,003</w:t>
            </w:r>
          </w:p>
        </w:tc>
      </w:tr>
      <w:tr>
        <w:trPr>
          <w:trHeight w:val="180"/>
        </w:trPr>
        <w:tc>
          <w:tcPr>
            <w:tcW w:w="67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 to arrive at AFFO:</w:t>
            </w: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Straight-line rental income</w:t>
            </w:r>
          </w:p>
        </w:tc>
        <w:tc>
          <w:tcPr>
            <w:tcW w:w="13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(1,161)</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(216)</w:t>
            </w:r>
          </w:p>
        </w:tc>
      </w:tr>
      <w:tr>
        <w:trPr>
          <w:trHeight w:val="180"/>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above-and below-market lease intangibles</w:t>
            </w:r>
          </w:p>
        </w:tc>
        <w:tc>
          <w:tcPr>
            <w:tcW w:w="1380" w:type="dxa"/>
            <w:vAlign w:val="bottom"/>
          </w:tcPr>
          <w:p>
            <w:pPr>
              <w:spacing w:after="0"/>
              <w:rPr>
                <w:sz w:val="15"/>
                <w:szCs w:val="15"/>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(697)</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w:t>
            </w:r>
          </w:p>
        </w:tc>
      </w:tr>
      <w:tr>
        <w:trPr>
          <w:trHeight w:val="18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Changes in fair value of financial instruments, net</w:t>
            </w:r>
          </w:p>
        </w:tc>
        <w:tc>
          <w:tcPr>
            <w:tcW w:w="13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475</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(525)</w:t>
            </w:r>
          </w:p>
        </w:tc>
      </w:tr>
      <w:tr>
        <w:trPr>
          <w:trHeight w:val="180"/>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Performance Participation Allocation</w:t>
            </w:r>
          </w:p>
        </w:tc>
        <w:tc>
          <w:tcPr>
            <w:tcW w:w="13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415</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13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633</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50</w:t>
            </w:r>
          </w:p>
        </w:tc>
      </w:tr>
      <w:tr>
        <w:trPr>
          <w:trHeight w:val="180"/>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stock based compensation awards</w:t>
            </w:r>
          </w:p>
        </w:tc>
        <w:tc>
          <w:tcPr>
            <w:tcW w:w="13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25</w:t>
            </w:r>
          </w:p>
        </w:tc>
      </w:tr>
      <w:tr>
        <w:trPr>
          <w:trHeight w:val="180"/>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Accretion of mortgage discount</w:t>
            </w:r>
          </w:p>
        </w:tc>
        <w:tc>
          <w:tcPr>
            <w:tcW w:w="138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152</w:t>
            </w:r>
          </w:p>
        </w:tc>
        <w:tc>
          <w:tcPr>
            <w:tcW w:w="1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34</w:t>
            </w:r>
          </w:p>
        </w:tc>
      </w:tr>
      <w:tr>
        <w:trPr>
          <w:trHeight w:val="180"/>
        </w:trPr>
        <w:tc>
          <w:tcPr>
            <w:tcW w:w="67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Amount attributable to non-controlling interests for above adjustments</w:t>
            </w:r>
          </w:p>
        </w:tc>
        <w:tc>
          <w:tcPr>
            <w:tcW w:w="1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1</w:t>
            </w:r>
          </w:p>
        </w:tc>
      </w:tr>
      <w:tr>
        <w:trPr>
          <w:trHeight w:val="211"/>
        </w:trPr>
        <w:tc>
          <w:tcPr>
            <w:tcW w:w="67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AFFO attributable to JPMREIT stockholders</w:t>
            </w:r>
          </w:p>
        </w:tc>
        <w:tc>
          <w:tcPr>
            <w:tcW w:w="1380" w:type="dxa"/>
            <w:vAlign w:val="bottom"/>
            <w:shd w:val="clear" w:color="auto" w:fill="CFF0FC"/>
          </w:tcPr>
          <w:p>
            <w:pPr>
              <w:jc w:val="right"/>
              <w:ind w:right="12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11,569</w:t>
            </w:r>
          </w:p>
        </w:tc>
        <w:tc>
          <w:tcPr>
            <w:tcW w:w="1600" w:type="dxa"/>
            <w:vAlign w:val="bottom"/>
            <w:gridSpan w:val="2"/>
            <w:shd w:val="clear" w:color="auto" w:fill="CFF0FC"/>
          </w:tcPr>
          <w:p>
            <w:pPr>
              <w:jc w:val="right"/>
              <w:ind w:right="13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4,357</w:t>
            </w:r>
          </w:p>
        </w:tc>
      </w:tr>
      <w:tr>
        <w:trPr>
          <w:trHeight w:val="964"/>
        </w:trPr>
        <w:tc>
          <w:tcPr>
            <w:tcW w:w="6780" w:type="dxa"/>
            <w:vAlign w:val="bottom"/>
            <w:tcBorders>
              <w:top w:val="single" w:sz="8" w:color="CFF0FC"/>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-662305</wp:posOffset>
            </wp:positionV>
            <wp:extent cx="1143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-647700</wp:posOffset>
            </wp:positionV>
            <wp:extent cx="11430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Liquidity</w:t>
      </w:r>
    </w:p>
    <w:p>
      <w:pPr>
        <w:spacing w:after="0" w:line="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Our primary needs for liquidity and capital resources are to fund our investments, to make distributions to our stockholders, to repurchase shares of our common stock pursuant to our share repurchase plan, to pay our offering and operating fees and expenses and to pay interest on any outstanding indebtedness we may incur. Our offering and operating fees and expenses include the management fee we pay to the Adviser, the performance participation allocation that the Operating Partnership pay to the Special Limited Partner, stockholder servicing fees we pay to the Dealer Manager, legal, audit, tax and valuation expenses, federal and state filing fees, printing expenses, administrative fees, transfer agent fees, marketing and distribution expenses and fees related to acquiring, financing, appraising and managing our properties. We do not have any office or personnel expenses as we do not have any employees.</w:t>
      </w:r>
    </w:p>
    <w:p>
      <w:pPr>
        <w:spacing w:after="0" w:line="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Over time, we generally intend to fund our cash needs for items other than asset acquisitions from operations. Our cash needs for acquisitions will be funded primarily from the sale of shares of our common stock, through the assumption or incurrence of secured or unsecured financings from banks or other lenders and from proceeds from the sales of assets. If necessary, we may use financings or other sources of capital in the event of unforeseen significant capital expenditures.</w:t>
      </w:r>
    </w:p>
    <w:p>
      <w:pPr>
        <w:spacing w:after="0" w:line="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If we are unable to raise substantial funds, we will make fewer investments, resulting in less diversification in terms of the type, number and size of investments we make and the value of an investment in us will fluctuate with the performance of the specific assets we acquire. Further, we have certain fixed operating expenses, including certain expenses as a publicly offered REIT, regardless of whether we are able to raise substantial funds. Our inability to raise substantial funds would increase our fixed operating expenses as a percentage of gross income, reducing our net income and limiting our ability to make distributions.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Capital resources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is a summary of our indebtedness as of March 31, 2026 and December 31, 2025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Principal Balance</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vMerge w:val="restart"/>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20" w:type="dxa"/>
            <w:vAlign w:val="bottom"/>
            <w:gridSpan w:val="2"/>
          </w:tcPr>
          <w:p>
            <w:pPr>
              <w:jc w:val="right"/>
              <w:ind w:right="125"/>
              <w:spacing w:after="0" w:line="153" w:lineRule="exact"/>
              <w:rPr>
                <w:sz w:val="20"/>
                <w:szCs w:val="20"/>
                <w:color w:val="auto"/>
              </w:rPr>
            </w:pPr>
            <w:r>
              <w:rPr>
                <w:rFonts w:ascii="Times New Roman" w:cs="Times New Roman" w:eastAsia="Times New Roman" w:hAnsi="Times New Roman"/>
                <w:sz w:val="15"/>
                <w:szCs w:val="15"/>
                <w:b w:val="1"/>
                <w:bCs w:val="1"/>
                <w:color w:val="auto"/>
              </w:rPr>
              <w:t>March 31,</w:t>
            </w:r>
          </w:p>
        </w:tc>
        <w:tc>
          <w:tcPr>
            <w:tcW w:w="96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Indebtedness</w:t>
            </w:r>
          </w:p>
        </w:tc>
        <w:tc>
          <w:tcPr>
            <w:tcW w:w="6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6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Maturity Date</w:t>
            </w: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Facility Size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2026</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i w:val="1"/>
                <w:iCs w:val="1"/>
                <w:color w:val="auto"/>
              </w:rPr>
              <w:t>Fixed rate debt secured by our properties</w:t>
            </w:r>
          </w:p>
        </w:tc>
        <w:tc>
          <w:tcPr>
            <w:tcW w:w="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Caroline West Gray</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5.44%</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December 1, 2029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45,911</w:t>
            </w: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45,911</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Caroline Post Oak</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5.44%</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December 1, 2029</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40,528</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40,528</w:t>
            </w: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Coda on Centre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4.28%</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May 1, 2029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27,718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27,860</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The Elmstead</w:t>
            </w:r>
            <w:r>
              <w:rPr>
                <w:rFonts w:ascii="Times New Roman" w:cs="Times New Roman" w:eastAsia="Times New Roman" w:hAnsi="Times New Roman"/>
                <w:sz w:val="20"/>
                <w:szCs w:val="20"/>
                <w:color w:val="auto"/>
                <w:vertAlign w:val="superscript"/>
              </w:rPr>
              <w:t>(1)</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4.30%</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April 1, 2031</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21,245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21,245</w:t>
            </w: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Bass Lofts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3.95%</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5, 2027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14,806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14,902</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One Brooklyn</w:t>
            </w:r>
          </w:p>
        </w:tc>
        <w:tc>
          <w:tcPr>
            <w:tcW w:w="16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4.35%</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July 1, 2028</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6,600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6,600</w:t>
            </w: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Charleston</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7"/>
              </w:rPr>
              <w:t>5.08%</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September 1, 2030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59,728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59,728</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Baker Chocolate</w:t>
            </w:r>
          </w:p>
        </w:tc>
        <w:tc>
          <w:tcPr>
            <w:tcW w:w="16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7"/>
              </w:rPr>
              <w:t>3.91%</w:t>
            </w:r>
          </w:p>
        </w:tc>
        <w:tc>
          <w:tcPr>
            <w:tcW w:w="6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January 1, 2028</w:t>
            </w:r>
          </w:p>
        </w:tc>
        <w:tc>
          <w:tcPr>
            <w:tcW w:w="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23,500</w:t>
            </w: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23,500</w:t>
            </w:r>
          </w:p>
        </w:tc>
        <w:tc>
          <w:tcPr>
            <w:tcW w:w="0" w:type="dxa"/>
            <w:vAlign w:val="bottom"/>
          </w:tcPr>
          <w:p>
            <w:pPr>
              <w:spacing w:after="0"/>
              <w:rPr>
                <w:sz w:val="1"/>
                <w:szCs w:val="1"/>
                <w:color w:val="auto"/>
              </w:rPr>
            </w:pPr>
          </w:p>
        </w:tc>
      </w:tr>
      <w:tr>
        <w:trPr>
          <w:trHeight w:val="171"/>
        </w:trPr>
        <w:tc>
          <w:tcPr>
            <w:tcW w:w="4580" w:type="dxa"/>
            <w:vAlign w:val="bottom"/>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 rate</w:t>
            </w: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240,036</w:t>
            </w:r>
          </w:p>
        </w:tc>
        <w:tc>
          <w:tcPr>
            <w:tcW w:w="1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240,274</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i w:val="1"/>
                <w:iCs w:val="1"/>
                <w:color w:val="auto"/>
              </w:rPr>
              <w:t>Variable rate debt secured by our properties</w:t>
            </w:r>
          </w:p>
        </w:tc>
        <w:tc>
          <w:tcPr>
            <w:tcW w:w="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6200 Bristol</w:t>
            </w:r>
            <w:r>
              <w:rPr>
                <w:rFonts w:ascii="Times New Roman" w:cs="Times New Roman" w:eastAsia="Times New Roman" w:hAnsi="Times New Roman"/>
                <w:sz w:val="20"/>
                <w:szCs w:val="20"/>
                <w:color w:val="auto"/>
                <w:vertAlign w:val="superscript"/>
              </w:rPr>
              <w:t>(2)</w:t>
            </w:r>
          </w:p>
        </w:tc>
        <w:tc>
          <w:tcPr>
            <w:tcW w:w="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SOFR + 2.05%</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April 1, 2029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10,000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Norfolk Industrial Portfolio</w:t>
            </w:r>
            <w:r>
              <w:rPr>
                <w:rFonts w:ascii="Times New Roman" w:cs="Times New Roman" w:eastAsia="Times New Roman" w:hAnsi="Times New Roman"/>
                <w:sz w:val="20"/>
                <w:szCs w:val="20"/>
                <w:color w:val="auto"/>
                <w:vertAlign w:val="superscript"/>
              </w:rPr>
              <w:t>(3)</w:t>
            </w:r>
          </w:p>
        </w:tc>
        <w:tc>
          <w:tcPr>
            <w:tcW w:w="60" w:type="dxa"/>
            <w:vAlign w:val="bottom"/>
            <w:shd w:val="clear" w:color="auto" w:fill="CFF0FC"/>
          </w:tcPr>
          <w:p>
            <w:pPr>
              <w:spacing w:after="0"/>
              <w:rPr>
                <w:sz w:val="15"/>
                <w:szCs w:val="15"/>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SOFR + 1.75%</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June 19, 2030</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43,700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43,700</w:t>
            </w: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Preserve at Pine Valley</w:t>
            </w:r>
            <w:r>
              <w:rPr>
                <w:rFonts w:ascii="Times New Roman" w:cs="Times New Roman" w:eastAsia="Times New Roman" w:hAnsi="Times New Roman"/>
                <w:sz w:val="20"/>
                <w:szCs w:val="20"/>
                <w:color w:val="auto"/>
                <w:vertAlign w:val="superscript"/>
              </w:rPr>
              <w:t>(4)</w:t>
            </w:r>
          </w:p>
        </w:tc>
        <w:tc>
          <w:tcPr>
            <w:tcW w:w="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SOFR + 1.50%</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December 10, 2030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21,200</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21,200</w:t>
            </w: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Vineyard Commons</w:t>
            </w:r>
            <w:r>
              <w:rPr>
                <w:rFonts w:ascii="Times New Roman" w:cs="Times New Roman" w:eastAsia="Times New Roman" w:hAnsi="Times New Roman"/>
                <w:sz w:val="20"/>
                <w:szCs w:val="20"/>
                <w:color w:val="auto"/>
                <w:vertAlign w:val="superscript"/>
              </w:rPr>
              <w:t>(5)</w:t>
            </w:r>
          </w:p>
        </w:tc>
        <w:tc>
          <w:tcPr>
            <w:tcW w:w="60" w:type="dxa"/>
            <w:vAlign w:val="bottom"/>
            <w:shd w:val="clear" w:color="auto" w:fill="CFF0FC"/>
          </w:tcPr>
          <w:p>
            <w:pPr>
              <w:spacing w:after="0"/>
              <w:rPr>
                <w:sz w:val="15"/>
                <w:szCs w:val="15"/>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SOFR + 1.40%</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8"/>
              </w:rPr>
              <w:t>January 1, 2030</w:t>
            </w: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center"/>
              <w:ind w:right="105"/>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45,175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45,175</w:t>
            </w:r>
          </w:p>
        </w:tc>
        <w:tc>
          <w:tcPr>
            <w:tcW w:w="0" w:type="dxa"/>
            <w:vAlign w:val="bottom"/>
          </w:tcPr>
          <w:p>
            <w:pPr>
              <w:spacing w:after="0"/>
              <w:rPr>
                <w:sz w:val="1"/>
                <w:szCs w:val="1"/>
                <w:color w:val="auto"/>
              </w:rPr>
            </w:pPr>
          </w:p>
        </w:tc>
      </w:tr>
      <w:tr>
        <w:trPr>
          <w:trHeight w:val="180"/>
        </w:trPr>
        <w:tc>
          <w:tcPr>
            <w:tcW w:w="4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Stablewood</w:t>
            </w:r>
          </w:p>
        </w:tc>
        <w:tc>
          <w:tcPr>
            <w:tcW w:w="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SOFR + 3.75%</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8, 2028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50,000</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9,493</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5,292</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variable rate</w:t>
            </w:r>
          </w:p>
        </w:tc>
        <w:tc>
          <w:tcPr>
            <w:tcW w:w="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129,568</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125,367</w:t>
            </w:r>
          </w:p>
        </w:tc>
        <w:tc>
          <w:tcPr>
            <w:tcW w:w="0" w:type="dxa"/>
            <w:vAlign w:val="bottom"/>
          </w:tcPr>
          <w:p>
            <w:pPr>
              <w:spacing w:after="0"/>
              <w:rPr>
                <w:sz w:val="1"/>
                <w:szCs w:val="1"/>
                <w:color w:val="auto"/>
              </w:rPr>
            </w:pPr>
          </w:p>
        </w:tc>
      </w:tr>
      <w:tr>
        <w:trPr>
          <w:trHeight w:val="180"/>
        </w:trPr>
        <w:tc>
          <w:tcPr>
            <w:tcW w:w="45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Total loans secured by real estate</w:t>
            </w: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369,604</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365,641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Repurchase Facility</w:t>
            </w:r>
          </w:p>
        </w:tc>
        <w:tc>
          <w:tcPr>
            <w:tcW w:w="60" w:type="dxa"/>
            <w:vAlign w:val="bottom"/>
            <w:shd w:val="clear" w:color="auto" w:fill="CFF0FC"/>
          </w:tcPr>
          <w:p>
            <w:pPr>
              <w:spacing w:after="0"/>
              <w:rPr>
                <w:sz w:val="15"/>
                <w:szCs w:val="15"/>
                <w:color w:val="auto"/>
              </w:rPr>
            </w:pP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SOFR + 1.52%</w:t>
            </w:r>
          </w:p>
        </w:tc>
        <w:tc>
          <w:tcPr>
            <w:tcW w:w="60" w:type="dxa"/>
            <w:vAlign w:val="bottom"/>
            <w:shd w:val="clear" w:color="auto" w:fill="CFF0FC"/>
          </w:tcPr>
          <w:p>
            <w:pPr>
              <w:spacing w:after="0"/>
              <w:rPr>
                <w:sz w:val="15"/>
                <w:szCs w:val="15"/>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August 22, 2027</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250,000</w:t>
            </w:r>
          </w:p>
        </w:tc>
        <w:tc>
          <w:tcPr>
            <w:tcW w:w="160" w:type="dxa"/>
            <w:vAlign w:val="bottom"/>
            <w:shd w:val="clear" w:color="auto" w:fill="CFF0FC"/>
          </w:tcPr>
          <w:p>
            <w:pPr>
              <w:spacing w:after="0"/>
              <w:rPr>
                <w:sz w:val="15"/>
                <w:szCs w:val="15"/>
                <w:color w:val="auto"/>
              </w:rPr>
            </w:pPr>
          </w:p>
        </w:tc>
        <w:tc>
          <w:tcPr>
            <w:tcW w:w="760" w:type="dxa"/>
            <w:vAlign w:val="bottom"/>
            <w:tcBorders>
              <w:right w:val="single" w:sz="8" w:color="CFF0FC"/>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228,450</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168,450</w:t>
            </w:r>
          </w:p>
        </w:tc>
        <w:tc>
          <w:tcPr>
            <w:tcW w:w="0" w:type="dxa"/>
            <w:vAlign w:val="bottom"/>
          </w:tcPr>
          <w:p>
            <w:pPr>
              <w:spacing w:after="0"/>
              <w:rPr>
                <w:sz w:val="1"/>
                <w:szCs w:val="1"/>
                <w:color w:val="auto"/>
              </w:rPr>
            </w:pPr>
          </w:p>
        </w:tc>
      </w:tr>
      <w:tr>
        <w:trPr>
          <w:trHeight w:val="180"/>
        </w:trPr>
        <w:tc>
          <w:tcPr>
            <w:tcW w:w="4580" w:type="dxa"/>
            <w:vAlign w:val="bottom"/>
          </w:tcPr>
          <w:p>
            <w:pPr>
              <w:spacing w:after="0"/>
              <w:rPr>
                <w:sz w:val="20"/>
                <w:szCs w:val="20"/>
                <w:color w:val="auto"/>
              </w:rPr>
            </w:pPr>
            <w:r>
              <w:rPr>
                <w:rFonts w:ascii="Times New Roman" w:cs="Times New Roman" w:eastAsia="Times New Roman" w:hAnsi="Times New Roman"/>
                <w:sz w:val="15"/>
                <w:szCs w:val="15"/>
                <w:color w:val="auto"/>
              </w:rPr>
              <w:t>Unsecured revolving credit facility</w:t>
            </w:r>
          </w:p>
        </w:tc>
        <w:tc>
          <w:tcPr>
            <w:tcW w:w="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SOFR + 1.30%</w:t>
            </w:r>
          </w:p>
        </w:tc>
        <w:tc>
          <w:tcPr>
            <w:tcW w:w="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July 15, 2028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325,000</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73,000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73,000</w:t>
            </w:r>
          </w:p>
        </w:tc>
        <w:tc>
          <w:tcPr>
            <w:tcW w:w="0" w:type="dxa"/>
            <w:vAlign w:val="bottom"/>
          </w:tcPr>
          <w:p>
            <w:pPr>
              <w:spacing w:after="0"/>
              <w:rPr>
                <w:sz w:val="1"/>
                <w:szCs w:val="1"/>
                <w:color w:val="auto"/>
              </w:rPr>
            </w:pPr>
          </w:p>
        </w:tc>
      </w:tr>
      <w:tr>
        <w:trPr>
          <w:trHeight w:val="191"/>
        </w:trPr>
        <w:tc>
          <w:tcPr>
            <w:tcW w:w="45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indebtedness</w:t>
            </w:r>
          </w:p>
        </w:tc>
        <w:tc>
          <w:tcPr>
            <w:tcW w:w="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FF0FC"/>
            </w:tcBorders>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671,054</w:t>
            </w:r>
          </w:p>
        </w:tc>
        <w:tc>
          <w:tcPr>
            <w:tcW w:w="1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607,091</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-1666875</wp:posOffset>
            </wp:positionV>
            <wp:extent cx="2857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-20955</wp:posOffset>
            </wp:positionV>
            <wp:extent cx="2857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-6350</wp:posOffset>
            </wp:positionV>
            <wp:extent cx="2857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41" w:lineRule="exact"/>
        <w:rPr>
          <w:sz w:val="20"/>
          <w:szCs w:val="20"/>
          <w:color w:val="auto"/>
        </w:rPr>
      </w:pPr>
    </w:p>
    <w:p>
      <w:pPr>
        <w:ind w:left="160" w:hanging="150"/>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loan is comprised of a senior and mezzanine loan. The interest rate and maturity date presented are the weighted average.</w:t>
      </w:r>
    </w:p>
    <w:p>
      <w:pPr>
        <w:spacing w:after="0" w:line="13"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entered into an interest rate swap that was not designated as a hedge, which fixed the rate at 6.26%.</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entered into an interest rate swap that was not designated as a hedge, which fixed the rate at 5.41%.</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entered into an interest rate swap that was not designated as a hedge, which fixed the rate at 4.90%.</w:t>
      </w:r>
    </w:p>
    <w:p>
      <w:pPr>
        <w:spacing w:after="0" w:line="14" w:lineRule="exact"/>
        <w:rPr>
          <w:rFonts w:ascii="Times New Roman" w:cs="Times New Roman" w:eastAsia="Times New Roman" w:hAnsi="Times New Roman"/>
          <w:sz w:val="19"/>
          <w:szCs w:val="19"/>
          <w:color w:val="auto"/>
          <w:vertAlign w:val="superscript"/>
        </w:rPr>
      </w:pPr>
    </w:p>
    <w:p>
      <w:pPr>
        <w:ind w:left="160" w:hanging="150"/>
        <w:spacing w:after="0" w:line="194" w:lineRule="auto"/>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entered into an interest rate swap that was not designated as a hedge, which fixed the rate at 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718058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7"/>
        </w:trPr>
        <w:tc>
          <w:tcPr>
            <w:tcW w:w="5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9"/>
        </w:trPr>
        <w:tc>
          <w:tcPr>
            <w:tcW w:w="786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The following table provides a breakdown of the net change in our cash and cash equivalents and restricted cash ($ in thousands):</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7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171"/>
        </w:trPr>
        <w:tc>
          <w:tcPr>
            <w:tcW w:w="5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45"/>
              <w:spacing w:after="0" w:line="172" w:lineRule="exact"/>
              <w:rPr>
                <w:sz w:val="20"/>
                <w:szCs w:val="20"/>
                <w:color w:val="auto"/>
              </w:rPr>
            </w:pPr>
            <w:r>
              <w:rPr>
                <w:rFonts w:ascii="Times New Roman" w:cs="Times New Roman" w:eastAsia="Times New Roman" w:hAnsi="Times New Roman"/>
                <w:sz w:val="15"/>
                <w:szCs w:val="15"/>
                <w:b w:val="1"/>
                <w:bCs w:val="1"/>
                <w:color w:val="auto"/>
              </w:rPr>
              <w:t>March 31, 2026</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65"/>
              <w:spacing w:after="0" w:line="172" w:lineRule="exact"/>
              <w:rPr>
                <w:sz w:val="20"/>
                <w:szCs w:val="20"/>
                <w:color w:val="auto"/>
              </w:rPr>
            </w:pPr>
            <w:r>
              <w:rPr>
                <w:rFonts w:ascii="Times New Roman" w:cs="Times New Roman" w:eastAsia="Times New Roman" w:hAnsi="Times New Roman"/>
                <w:sz w:val="15"/>
                <w:szCs w:val="15"/>
                <w:b w:val="1"/>
                <w:bCs w:val="1"/>
                <w:color w:val="auto"/>
              </w:rPr>
              <w:t>March 31, 2025</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45"/>
              <w:spacing w:after="0" w:line="172"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71"/>
        </w:trPr>
        <w:tc>
          <w:tcPr>
            <w:tcW w:w="57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shd w:val="clear" w:color="auto" w:fill="CFF0FC"/>
          </w:tcPr>
          <w:p>
            <w:pPr>
              <w:jc w:val="right"/>
              <w:ind w:right="25"/>
              <w:spacing w:after="0" w:line="171" w:lineRule="exact"/>
              <w:rPr>
                <w:sz w:val="20"/>
                <w:szCs w:val="20"/>
                <w:color w:val="auto"/>
              </w:rPr>
            </w:pPr>
            <w:r>
              <w:rPr>
                <w:rFonts w:ascii="Times New Roman" w:cs="Times New Roman" w:eastAsia="Times New Roman" w:hAnsi="Times New Roman"/>
                <w:sz w:val="15"/>
                <w:szCs w:val="15"/>
                <w:color w:val="auto"/>
              </w:rPr>
              <w:t>11,738</w:t>
            </w:r>
          </w:p>
        </w:tc>
        <w:tc>
          <w:tcPr>
            <w:tcW w:w="420" w:type="dxa"/>
            <w:vAlign w:val="bottom"/>
            <w:gridSpan w:val="3"/>
            <w:shd w:val="clear" w:color="auto" w:fill="CFF0FC"/>
          </w:tcPr>
          <w:p>
            <w:pPr>
              <w:jc w:val="right"/>
              <w:ind w:righ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5,506</w:t>
            </w:r>
          </w:p>
        </w:tc>
        <w:tc>
          <w:tcPr>
            <w:tcW w:w="460" w:type="dxa"/>
            <w:vAlign w:val="bottom"/>
            <w:gridSpan w:val="2"/>
            <w:shd w:val="clear" w:color="auto" w:fill="CFF0FC"/>
          </w:tcPr>
          <w:p>
            <w:pPr>
              <w:jc w:val="right"/>
              <w:ind w:right="2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6,232</w:t>
            </w:r>
          </w:p>
        </w:tc>
      </w:tr>
      <w:tr>
        <w:trPr>
          <w:trHeight w:val="180"/>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(118,619)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32,722</w:t>
            </w:r>
          </w:p>
        </w:tc>
      </w:tr>
      <w:tr>
        <w:trPr>
          <w:trHeight w:val="18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0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5"/>
                <w:szCs w:val="15"/>
                <w:color w:val="auto"/>
              </w:rPr>
              <w:t>71,015</w:t>
            </w:r>
          </w:p>
        </w:tc>
        <w:tc>
          <w:tcPr>
            <w:tcW w:w="6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295,968</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(224,953)</w:t>
            </w:r>
          </w:p>
        </w:tc>
      </w:tr>
      <w:tr>
        <w:trPr>
          <w:trHeight w:val="171"/>
        </w:trPr>
        <w:tc>
          <w:tcPr>
            <w:tcW w:w="57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00" w:type="dxa"/>
            <w:vAlign w:val="bottom"/>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(3,144)</w:t>
            </w:r>
          </w:p>
        </w:tc>
        <w:tc>
          <w:tcPr>
            <w:tcW w:w="420" w:type="dxa"/>
            <w:vAlign w:val="bottom"/>
            <w:gridSpan w:val="3"/>
          </w:tcPr>
          <w:p>
            <w:pPr>
              <w:jc w:val="right"/>
              <w:ind w:right="1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182,855</w:t>
            </w:r>
          </w:p>
        </w:tc>
        <w:tc>
          <w:tcPr>
            <w:tcW w:w="460" w:type="dxa"/>
            <w:vAlign w:val="bottom"/>
            <w:gridSpan w:val="2"/>
          </w:tcPr>
          <w:p>
            <w:pPr>
              <w:jc w:val="right"/>
              <w:ind w:right="2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(185,999)</w:t>
            </w: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4759960</wp:posOffset>
            </wp:positionH>
            <wp:positionV relativeFrom="paragraph">
              <wp:posOffset>-141605</wp:posOffset>
            </wp:positionV>
            <wp:extent cx="9271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-141605</wp:posOffset>
            </wp:positionV>
            <wp:extent cx="8572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6985"/>
                    </a:xfrm>
                    <a:prstGeom prst="rect">
                      <a:avLst/>
                    </a:prstGeom>
                    <a:noFill/>
                  </pic:spPr>
                </pic:pic>
              </a:graphicData>
            </a:graphic>
          </wp:anchor>
        </w:drawing>
      </w:r>
    </w:p>
    <w:p>
      <w:pPr>
        <w:spacing w:after="0" w:line="55"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5"/>
          <w:szCs w:val="15"/>
          <w:color w:val="auto"/>
        </w:rPr>
        <w:t>Cash flows provided by operating activities increased by $6.2 million for the three months ended March 31, 2026 compared to the corresponding period in 2025 primarily due to an increase in cash flows from operations from our investments in real estate as a result of growth in the size of our portfolio.</w:t>
      </w:r>
    </w:p>
    <w:p>
      <w:pPr>
        <w:spacing w:after="0" w:line="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Cash flows used in investing activities decreased by $32.7 million for the three months ended March 31, 2026 compared to the corresponding period in 2025 primarily due to a decrease of $51.4 million in real estate acquisitions and a decrease of $63.1 million in purchase of real-estate related and other securities, partially offset by an increase of $80.0 million in the origination of investments in real estate debt.</w:t>
      </w:r>
    </w:p>
    <w:p>
      <w:pPr>
        <w:spacing w:after="0" w:line="5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Cash flows provided by financing activities decreased by $225.0 million for the three months ended March 31, 2026 compared to the corresponding period in 2025 primarily due to a decrease of net proceeds from the issuance of common stock of $251.3 million and an increase of $32.3 million in repurchases of common stock and mandatorily redeemable instruments, partially offset by an increase of $60.0 million in proceeds from the Repurchase Facility.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01"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5"/>
          <w:szCs w:val="15"/>
          <w:color w:val="auto"/>
        </w:rPr>
        <w:t>We generally intend to distribute substantially all of our taxable income, which does not necessarily equal net income as calculated in accordance with GAAP, to our stockholders each year to comply with the REIT provisions of the Code. Each class of common stock receives the same gross distribution per share. The net distribution varies for each class based on the applicable stockholder servicing fee, which is deducted from the monthly distribution per share.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detail the aggregate distributions declared for each applicable class of common stock:</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2026</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Aggregate gross distributions declared per share of</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65"/>
              <w:spacing w:after="0" w:line="172" w:lineRule="exact"/>
              <w:rPr>
                <w:sz w:val="20"/>
                <w:szCs w:val="20"/>
                <w:color w:val="auto"/>
              </w:rPr>
            </w:pPr>
            <w:r>
              <w:rPr>
                <w:rFonts w:ascii="Times New Roman" w:cs="Times New Roman" w:eastAsia="Times New Roman" w:hAnsi="Times New Roman"/>
                <w:sz w:val="15"/>
                <w:szCs w:val="15"/>
                <w:b w:val="1"/>
                <w:bCs w:val="1"/>
                <w:color w:val="auto"/>
              </w:rPr>
              <w:t>Class D</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5"/>
              <w:spacing w:after="0" w:line="172" w:lineRule="exact"/>
              <w:rPr>
                <w:sz w:val="20"/>
                <w:szCs w:val="20"/>
                <w:color w:val="auto"/>
              </w:rPr>
            </w:pPr>
            <w:r>
              <w:rPr>
                <w:rFonts w:ascii="Times New Roman" w:cs="Times New Roman" w:eastAsia="Times New Roman" w:hAnsi="Times New Roman"/>
                <w:sz w:val="15"/>
                <w:szCs w:val="15"/>
                <w:b w:val="1"/>
                <w:bCs w:val="1"/>
                <w:color w:val="auto"/>
                <w:w w:val="95"/>
              </w:rPr>
              <w:t>Class I</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line="172" w:lineRule="exact"/>
              <w:rPr>
                <w:sz w:val="20"/>
                <w:szCs w:val="20"/>
                <w:color w:val="auto"/>
              </w:rPr>
            </w:pPr>
            <w:r>
              <w:rPr>
                <w:rFonts w:ascii="Times New Roman" w:cs="Times New Roman" w:eastAsia="Times New Roman" w:hAnsi="Times New Roman"/>
                <w:sz w:val="14"/>
                <w:szCs w:val="14"/>
                <w:b w:val="1"/>
                <w:bCs w:val="1"/>
                <w:color w:val="auto"/>
              </w:rPr>
              <w:t>Class S</w:t>
            </w:r>
            <w:r>
              <w:rPr>
                <w:rFonts w:ascii="Times New Roman" w:cs="Times New Roman" w:eastAsia="Times New Roman" w:hAnsi="Times New Roman"/>
                <w:sz w:val="19"/>
                <w:szCs w:val="19"/>
                <w:b w:val="1"/>
                <w:bCs w:val="1"/>
                <w:color w:val="auto"/>
                <w:vertAlign w:val="superscript"/>
              </w:rPr>
              <w:t>(2)</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Class 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5"/>
              <w:spacing w:after="0" w:line="172" w:lineRule="exact"/>
              <w:rPr>
                <w:sz w:val="20"/>
                <w:szCs w:val="20"/>
                <w:color w:val="auto"/>
              </w:rPr>
            </w:pPr>
            <w:r>
              <w:rPr>
                <w:rFonts w:ascii="Times New Roman" w:cs="Times New Roman" w:eastAsia="Times New Roman" w:hAnsi="Times New Roman"/>
                <w:sz w:val="15"/>
                <w:szCs w:val="15"/>
                <w:b w:val="1"/>
                <w:bCs w:val="1"/>
                <w:color w:val="auto"/>
              </w:rPr>
              <w:t>Class 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Class X</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5"/>
              <w:spacing w:after="0" w:line="172" w:lineRule="exact"/>
              <w:rPr>
                <w:sz w:val="20"/>
                <w:szCs w:val="20"/>
                <w:color w:val="auto"/>
              </w:rPr>
            </w:pPr>
            <w:r>
              <w:rPr>
                <w:rFonts w:ascii="Times New Roman" w:cs="Times New Roman" w:eastAsia="Times New Roman" w:hAnsi="Times New Roman"/>
                <w:sz w:val="15"/>
                <w:szCs w:val="15"/>
                <w:b w:val="1"/>
                <w:bCs w:val="1"/>
                <w:color w:val="auto"/>
              </w:rPr>
              <w:t>Class Y</w:t>
            </w:r>
          </w:p>
        </w:tc>
        <w:tc>
          <w:tcPr>
            <w:tcW w:w="0" w:type="dxa"/>
            <w:vAlign w:val="bottom"/>
          </w:tcPr>
          <w:p>
            <w:pPr>
              <w:spacing w:after="0"/>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0.1264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0.1264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0.1264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0.1264</w:t>
            </w:r>
          </w:p>
        </w:tc>
        <w:tc>
          <w:tcPr>
            <w:tcW w:w="0" w:type="dxa"/>
            <w:vAlign w:val="bottom"/>
          </w:tcPr>
          <w:p>
            <w:pPr>
              <w:spacing w:after="0"/>
              <w:rPr>
                <w:sz w:val="1"/>
                <w:szCs w:val="1"/>
                <w:color w:val="auto"/>
              </w:rPr>
            </w:pPr>
          </w:p>
        </w:tc>
      </w:tr>
      <w:tr>
        <w:trPr>
          <w:trHeight w:val="148"/>
        </w:trPr>
        <w:tc>
          <w:tcPr>
            <w:tcW w:w="3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5"/>
                <w:szCs w:val="15"/>
                <w:color w:val="auto"/>
              </w:rPr>
              <w:t>Stockholder servicing fee per share of common</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380" w:type="dxa"/>
            <w:vAlign w:val="bottom"/>
            <w:tcBorders>
              <w:bottom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5"/>
                <w:szCs w:val="15"/>
                <w:color w:val="auto"/>
              </w:rPr>
              <w:t>stock</w:t>
            </w:r>
            <w:r>
              <w:rPr>
                <w:rFonts w:ascii="Times New Roman" w:cs="Times New Roman" w:eastAsia="Times New Roman" w:hAnsi="Times New Roman"/>
                <w:sz w:val="20"/>
                <w:szCs w:val="20"/>
                <w:color w:val="auto"/>
                <w:vertAlign w:val="superscript"/>
              </w:rPr>
              <w:t>(1)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right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right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(0.0235)</w:t>
            </w:r>
          </w:p>
        </w:tc>
        <w:tc>
          <w:tcPr>
            <w:tcW w:w="0" w:type="dxa"/>
            <w:vAlign w:val="bottom"/>
          </w:tcPr>
          <w:p>
            <w:pPr>
              <w:spacing w:after="0"/>
              <w:rPr>
                <w:sz w:val="1"/>
                <w:szCs w:val="1"/>
                <w:color w:val="auto"/>
              </w:rPr>
            </w:pPr>
          </w:p>
        </w:tc>
      </w:tr>
      <w:tr>
        <w:trPr>
          <w:trHeight w:val="171"/>
        </w:trPr>
        <w:tc>
          <w:tcPr>
            <w:tcW w:w="33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Net distributions declared per share of common stock</w:t>
            </w:r>
          </w:p>
        </w:tc>
        <w:tc>
          <w:tcPr>
            <w:tcW w:w="80" w:type="dxa"/>
            <w:vAlign w:val="bottom"/>
          </w:tcPr>
          <w:p>
            <w:pPr>
              <w:spacing w:after="0"/>
              <w:rPr>
                <w:sz w:val="14"/>
                <w:szCs w:val="14"/>
                <w:color w:val="auto"/>
              </w:rPr>
            </w:pPr>
          </w:p>
        </w:tc>
        <w:tc>
          <w:tcPr>
            <w:tcW w:w="160" w:type="dxa"/>
            <w:vAlign w:val="bottom"/>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4"/>
                <w:szCs w:val="14"/>
                <w:color w:val="auto"/>
              </w:rPr>
            </w:pPr>
          </w:p>
        </w:tc>
        <w:tc>
          <w:tcPr>
            <w:tcW w:w="7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26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24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0" w:type="dxa"/>
            <w:vAlign w:val="bottom"/>
          </w:tcPr>
          <w:p>
            <w:pPr>
              <w:jc w:val="right"/>
              <w:ind w:right="66"/>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80" w:type="dxa"/>
            <w:vAlign w:val="bottom"/>
          </w:tcPr>
          <w:p>
            <w:pPr>
              <w:ind w:left="5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0.1264</w:t>
            </w:r>
          </w:p>
        </w:tc>
        <w:tc>
          <w:tcPr>
            <w:tcW w:w="24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ind w:left="5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0.1029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2025</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5"/>
              <w:spacing w:after="0" w:line="172" w:lineRule="exact"/>
              <w:rPr>
                <w:sz w:val="20"/>
                <w:szCs w:val="20"/>
                <w:color w:val="auto"/>
              </w:rPr>
            </w:pPr>
            <w:r>
              <w:rPr>
                <w:rFonts w:ascii="Times New Roman" w:cs="Times New Roman" w:eastAsia="Times New Roman" w:hAnsi="Times New Roman"/>
                <w:sz w:val="15"/>
                <w:szCs w:val="15"/>
                <w:b w:val="1"/>
                <w:bCs w:val="1"/>
                <w:color w:val="auto"/>
              </w:rPr>
              <w:t>Class D</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5"/>
              <w:spacing w:after="0" w:line="172" w:lineRule="exact"/>
              <w:rPr>
                <w:sz w:val="20"/>
                <w:szCs w:val="20"/>
                <w:color w:val="auto"/>
              </w:rPr>
            </w:pPr>
            <w:r>
              <w:rPr>
                <w:rFonts w:ascii="Times New Roman" w:cs="Times New Roman" w:eastAsia="Times New Roman" w:hAnsi="Times New Roman"/>
                <w:sz w:val="15"/>
                <w:szCs w:val="15"/>
                <w:b w:val="1"/>
                <w:bCs w:val="1"/>
                <w:color w:val="auto"/>
              </w:rPr>
              <w:t>Class I</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6"/>
              <w:spacing w:after="0" w:line="172" w:lineRule="exact"/>
              <w:rPr>
                <w:sz w:val="20"/>
                <w:szCs w:val="20"/>
                <w:color w:val="auto"/>
              </w:rPr>
            </w:pPr>
            <w:r>
              <w:rPr>
                <w:rFonts w:ascii="Times New Roman" w:cs="Times New Roman" w:eastAsia="Times New Roman" w:hAnsi="Times New Roman"/>
                <w:sz w:val="14"/>
                <w:szCs w:val="14"/>
                <w:b w:val="1"/>
                <w:bCs w:val="1"/>
                <w:color w:val="auto"/>
              </w:rPr>
              <w:t>Class S</w:t>
            </w:r>
            <w:r>
              <w:rPr>
                <w:rFonts w:ascii="Times New Roman" w:cs="Times New Roman" w:eastAsia="Times New Roman" w:hAnsi="Times New Roman"/>
                <w:sz w:val="19"/>
                <w:szCs w:val="19"/>
                <w:b w:val="1"/>
                <w:bCs w:val="1"/>
                <w:color w:val="auto"/>
                <w:vertAlign w:val="superscript"/>
              </w:rPr>
              <w:t>(2)</w:t>
            </w:r>
          </w:p>
        </w:tc>
        <w:tc>
          <w:tcPr>
            <w:tcW w:w="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80"/>
              <w:spacing w:after="0" w:line="172" w:lineRule="exact"/>
              <w:rPr>
                <w:sz w:val="20"/>
                <w:szCs w:val="20"/>
                <w:color w:val="auto"/>
              </w:rPr>
            </w:pPr>
            <w:r>
              <w:rPr>
                <w:rFonts w:ascii="Times New Roman" w:cs="Times New Roman" w:eastAsia="Times New Roman" w:hAnsi="Times New Roman"/>
                <w:sz w:val="15"/>
                <w:szCs w:val="15"/>
                <w:b w:val="1"/>
                <w:bCs w:val="1"/>
                <w:color w:val="auto"/>
              </w:rPr>
              <w:t>Class 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line="172" w:lineRule="exact"/>
              <w:rPr>
                <w:sz w:val="20"/>
                <w:szCs w:val="20"/>
                <w:color w:val="auto"/>
              </w:rPr>
            </w:pPr>
            <w:r>
              <w:rPr>
                <w:rFonts w:ascii="Times New Roman" w:cs="Times New Roman" w:eastAsia="Times New Roman" w:hAnsi="Times New Roman"/>
                <w:sz w:val="15"/>
                <w:szCs w:val="15"/>
                <w:b w:val="1"/>
                <w:bCs w:val="1"/>
                <w:color w:val="auto"/>
              </w:rPr>
              <w:t>Class X</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5"/>
              <w:spacing w:after="0" w:line="172" w:lineRule="exact"/>
              <w:rPr>
                <w:sz w:val="20"/>
                <w:szCs w:val="20"/>
                <w:color w:val="auto"/>
              </w:rPr>
            </w:pPr>
            <w:r>
              <w:rPr>
                <w:rFonts w:ascii="Times New Roman" w:cs="Times New Roman" w:eastAsia="Times New Roman" w:hAnsi="Times New Roman"/>
                <w:sz w:val="15"/>
                <w:szCs w:val="15"/>
                <w:b w:val="1"/>
                <w:bCs w:val="1"/>
                <w:color w:val="auto"/>
              </w:rPr>
              <w:t>Class Y</w:t>
            </w:r>
          </w:p>
        </w:tc>
        <w:tc>
          <w:tcPr>
            <w:tcW w:w="0" w:type="dxa"/>
            <w:vAlign w:val="bottom"/>
          </w:tcPr>
          <w:p>
            <w:pPr>
              <w:spacing w:after="0"/>
              <w:rPr>
                <w:sz w:val="1"/>
                <w:szCs w:val="1"/>
                <w:color w:val="auto"/>
              </w:rPr>
            </w:pPr>
          </w:p>
        </w:tc>
      </w:tr>
      <w:tr>
        <w:trPr>
          <w:trHeight w:val="156"/>
        </w:trPr>
        <w:tc>
          <w:tcPr>
            <w:tcW w:w="3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Aggregate gross distributions declared per share of</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0.1125</w:t>
            </w:r>
          </w:p>
        </w:tc>
        <w:tc>
          <w:tcPr>
            <w:tcW w:w="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0.1125</w:t>
            </w: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0.0375</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FF0FC"/>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0.1125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0.1125</w:t>
            </w:r>
          </w:p>
        </w:tc>
        <w:tc>
          <w:tcPr>
            <w:tcW w:w="0" w:type="dxa"/>
            <w:vAlign w:val="bottom"/>
          </w:tcPr>
          <w:p>
            <w:pPr>
              <w:spacing w:after="0"/>
              <w:rPr>
                <w:sz w:val="1"/>
                <w:szCs w:val="1"/>
                <w:color w:val="auto"/>
              </w:rPr>
            </w:pPr>
          </w:p>
        </w:tc>
      </w:tr>
      <w:tr>
        <w:trPr>
          <w:trHeight w:val="180"/>
        </w:trPr>
        <w:tc>
          <w:tcPr>
            <w:tcW w:w="33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Stockholder servicing fee per share of common stock</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(0.0078)</w:t>
            </w: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(0.0229)</w:t>
            </w:r>
          </w:p>
        </w:tc>
        <w:tc>
          <w:tcPr>
            <w:tcW w:w="0" w:type="dxa"/>
            <w:vAlign w:val="bottom"/>
          </w:tcPr>
          <w:p>
            <w:pPr>
              <w:spacing w:after="0"/>
              <w:rPr>
                <w:sz w:val="1"/>
                <w:szCs w:val="1"/>
                <w:color w:val="auto"/>
              </w:rPr>
            </w:pPr>
          </w:p>
        </w:tc>
      </w:tr>
      <w:tr>
        <w:trPr>
          <w:trHeight w:val="191"/>
        </w:trPr>
        <w:tc>
          <w:tcPr>
            <w:tcW w:w="33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distributions declared per share of common stock</w:t>
            </w:r>
          </w:p>
        </w:tc>
        <w:tc>
          <w:tcPr>
            <w:tcW w:w="360" w:type="dxa"/>
            <w:vAlign w:val="bottom"/>
            <w:gridSpan w:val="3"/>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340" w:type="dxa"/>
            <w:vAlign w:val="bottom"/>
            <w:gridSpan w:val="3"/>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0.0297</w:t>
            </w:r>
          </w:p>
        </w:tc>
        <w:tc>
          <w:tcPr>
            <w:tcW w:w="320" w:type="dxa"/>
            <w:vAlign w:val="bottom"/>
            <w:gridSpan w:val="3"/>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FF0FC"/>
            </w:tcBorders>
            <w:shd w:val="clear" w:color="auto" w:fill="CFF0FC"/>
          </w:tcPr>
          <w:p>
            <w:pPr>
              <w:ind w:left="6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right w:val="single" w:sz="8" w:color="CFF0FC"/>
            </w:tcBorders>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0.1125</w:t>
            </w:r>
          </w:p>
        </w:tc>
        <w:tc>
          <w:tcPr>
            <w:tcW w:w="240" w:type="dxa"/>
            <w:vAlign w:val="bottom"/>
            <w:gridSpan w:val="2"/>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FF0FC"/>
            </w:tcBorders>
            <w:shd w:val="clear" w:color="auto" w:fill="CFF0FC"/>
          </w:tcPr>
          <w:p>
            <w:pPr>
              <w:ind w:left="5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FF0FC"/>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0.0896</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-996950</wp:posOffset>
            </wp:positionV>
            <wp:extent cx="8572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-996950</wp:posOffset>
            </wp:positionV>
            <wp:extent cx="8572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4296410</wp:posOffset>
            </wp:positionH>
            <wp:positionV relativeFrom="paragraph">
              <wp:posOffset>-996950</wp:posOffset>
            </wp:positionV>
            <wp:extent cx="8572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-996950</wp:posOffset>
            </wp:positionV>
            <wp:extent cx="8572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-996950</wp:posOffset>
            </wp:positionV>
            <wp:extent cx="7810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6442075</wp:posOffset>
            </wp:positionH>
            <wp:positionV relativeFrom="paragraph">
              <wp:posOffset>-996950</wp:posOffset>
            </wp:positionV>
            <wp:extent cx="7810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-20955</wp:posOffset>
            </wp:positionV>
            <wp:extent cx="8572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-6350</wp:posOffset>
            </wp:positionV>
            <wp:extent cx="857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-20955</wp:posOffset>
            </wp:positionV>
            <wp:extent cx="857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-6350</wp:posOffset>
            </wp:positionV>
            <wp:extent cx="857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-20955</wp:posOffset>
            </wp:positionV>
            <wp:extent cx="857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4346575</wp:posOffset>
            </wp:positionH>
            <wp:positionV relativeFrom="paragraph">
              <wp:posOffset>-6350</wp:posOffset>
            </wp:positionV>
            <wp:extent cx="857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-20955</wp:posOffset>
            </wp:positionV>
            <wp:extent cx="857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-6350</wp:posOffset>
            </wp:positionV>
            <wp:extent cx="857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698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-20955</wp:posOffset>
            </wp:positionV>
            <wp:extent cx="7810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-6350</wp:posOffset>
            </wp:positionV>
            <wp:extent cx="7810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-20955</wp:posOffset>
            </wp:positionV>
            <wp:extent cx="7810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-6350</wp:posOffset>
            </wp:positionV>
            <wp:extent cx="7810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8105" cy="6985"/>
                    </a:xfrm>
                    <a:prstGeom prst="rect">
                      <a:avLst/>
                    </a:prstGeom>
                    <a:noFill/>
                  </pic:spPr>
                </pic:pic>
              </a:graphicData>
            </a:graphic>
          </wp:anchor>
        </w:drawing>
      </w:r>
    </w:p>
    <w:p>
      <w:pPr>
        <w:spacing w:after="0" w:line="66" w:lineRule="exact"/>
        <w:rPr>
          <w:sz w:val="20"/>
          <w:szCs w:val="20"/>
          <w:color w:val="auto"/>
        </w:rPr>
      </w:pPr>
    </w:p>
    <w:p>
      <w:pPr>
        <w:ind w:right="180" w:firstLine="10"/>
        <w:spacing w:after="0" w:line="365" w:lineRule="auto"/>
        <w:tabs>
          <w:tab w:leader="none" w:pos="142"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 The Company accrued stockholder servicing fees of $7.1 million and $6.3 million as of March 31, 2026 and December 31, 2025, respectively.</w:t>
      </w:r>
    </w:p>
    <w:p>
      <w:pPr>
        <w:spacing w:after="0" w:line="2" w:lineRule="exact"/>
        <w:rPr>
          <w:rFonts w:ascii="Times New Roman" w:cs="Times New Roman" w:eastAsia="Times New Roman" w:hAnsi="Times New Roman"/>
          <w:sz w:val="16"/>
          <w:szCs w:val="16"/>
          <w:color w:val="auto"/>
          <w:vertAlign w:val="superscript"/>
        </w:rPr>
      </w:pPr>
    </w:p>
    <w:p>
      <w:pPr>
        <w:ind w:left="160" w:hanging="150"/>
        <w:spacing w:after="0" w:line="209" w:lineRule="auto"/>
        <w:tabs>
          <w:tab w:leader="none" w:pos="16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Class S shares were repurchased prior to the February 28, 2025 record date for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718058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color w:val="auto"/>
        </w:rPr>
        <w:t>The following tables summarize our distributions paid on our shares of common stock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6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2026</w:t>
            </w:r>
          </w:p>
        </w:tc>
        <w:tc>
          <w:tcPr>
            <w:tcW w:w="20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2025</w:t>
            </w:r>
          </w:p>
        </w:tc>
      </w:tr>
      <w:tr>
        <w:trPr>
          <w:trHeight w:val="172"/>
        </w:trPr>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200" w:type="dxa"/>
            <w:vAlign w:val="bottom"/>
          </w:tcPr>
          <w:p>
            <w:pPr>
              <w:spacing w:after="0"/>
              <w:rPr>
                <w:sz w:val="14"/>
                <w:szCs w:val="14"/>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Percentage</w:t>
            </w:r>
          </w:p>
        </w:tc>
      </w:tr>
      <w:tr>
        <w:trPr>
          <w:trHeight w:val="171"/>
        </w:trPr>
        <w:tc>
          <w:tcPr>
            <w:tcW w:w="31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Distributions</w:t>
            </w:r>
          </w:p>
        </w:tc>
        <w:tc>
          <w:tcPr>
            <w:tcW w:w="9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r>
      <w:tr>
        <w:trPr>
          <w:trHeight w:val="180"/>
        </w:trPr>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Paid in cash</w:t>
            </w:r>
          </w:p>
        </w:tc>
        <w:tc>
          <w:tcPr>
            <w:tcW w:w="1960" w:type="dxa"/>
            <w:vAlign w:val="bottom"/>
            <w:gridSpan w:val="2"/>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4,508</w:t>
            </w:r>
          </w:p>
        </w:tc>
        <w:tc>
          <w:tcPr>
            <w:tcW w:w="18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45%</w:t>
            </w:r>
          </w:p>
        </w:tc>
        <w:tc>
          <w:tcPr>
            <w:tcW w:w="1300" w:type="dxa"/>
            <w:vAlign w:val="bottom"/>
            <w:gridSpan w:val="2"/>
          </w:tcPr>
          <w:p>
            <w:pPr>
              <w:jc w:val="right"/>
              <w:ind w:right="94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2,601</w:t>
            </w:r>
          </w:p>
        </w:tc>
        <w:tc>
          <w:tcPr>
            <w:tcW w:w="18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55%</w:t>
            </w:r>
          </w:p>
        </w:tc>
      </w:tr>
      <w:tr>
        <w:trPr>
          <w:trHeight w:val="180"/>
        </w:trPr>
        <w:tc>
          <w:tcPr>
            <w:tcW w:w="3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Reinvested in shares</w:t>
            </w:r>
          </w:p>
        </w:tc>
        <w:tc>
          <w:tcPr>
            <w:tcW w:w="9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5,444</w:t>
            </w:r>
          </w:p>
        </w:tc>
        <w:tc>
          <w:tcPr>
            <w:tcW w:w="16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55%</w:t>
            </w: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2,119</w:t>
            </w:r>
          </w:p>
        </w:tc>
        <w:tc>
          <w:tcPr>
            <w:tcW w:w="1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45%</w:t>
            </w:r>
          </w:p>
        </w:tc>
      </w:tr>
      <w:tr>
        <w:trPr>
          <w:trHeight w:val="171"/>
        </w:trPr>
        <w:tc>
          <w:tcPr>
            <w:tcW w:w="31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auto"/>
              </w:rPr>
              <w:t>Total distributions</w:t>
            </w:r>
          </w:p>
        </w:tc>
        <w:tc>
          <w:tcPr>
            <w:tcW w:w="1960" w:type="dxa"/>
            <w:vAlign w:val="bottom"/>
            <w:gridSpan w:val="2"/>
          </w:tcPr>
          <w:p>
            <w:pPr>
              <w:jc w:val="right"/>
              <w:ind w:right="905"/>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9,952</w:t>
            </w:r>
          </w:p>
        </w:tc>
        <w:tc>
          <w:tcPr>
            <w:tcW w:w="1880" w:type="dxa"/>
            <w:vAlign w:val="bottom"/>
            <w:gridSpan w:val="2"/>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100%</w:t>
            </w:r>
          </w:p>
        </w:tc>
        <w:tc>
          <w:tcPr>
            <w:tcW w:w="1300" w:type="dxa"/>
            <w:vAlign w:val="bottom"/>
            <w:gridSpan w:val="2"/>
          </w:tcPr>
          <w:p>
            <w:pPr>
              <w:jc w:val="right"/>
              <w:ind w:right="9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4,720</w:t>
            </w:r>
          </w:p>
        </w:tc>
        <w:tc>
          <w:tcPr>
            <w:tcW w:w="1860" w:type="dxa"/>
            <w:vAlign w:val="bottom"/>
            <w:gridSpan w:val="2"/>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100%</w:t>
            </w:r>
          </w:p>
        </w:tc>
      </w:tr>
      <w:tr>
        <w:trPr>
          <w:trHeight w:val="20"/>
        </w:trPr>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12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Source of Distributions</w:t>
            </w:r>
          </w:p>
        </w:tc>
        <w:tc>
          <w:tcPr>
            <w:tcW w:w="9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r>
      <w:tr>
        <w:trPr>
          <w:trHeight w:val="180"/>
        </w:trPr>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960" w:type="dxa"/>
            <w:vAlign w:val="bottom"/>
            <w:gridSpan w:val="2"/>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9,952</w:t>
            </w:r>
          </w:p>
        </w:tc>
        <w:tc>
          <w:tcPr>
            <w:tcW w:w="188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c>
          <w:tcPr>
            <w:tcW w:w="1300" w:type="dxa"/>
            <w:vAlign w:val="bottom"/>
            <w:gridSpan w:val="2"/>
          </w:tcPr>
          <w:p>
            <w:pPr>
              <w:jc w:val="right"/>
              <w:ind w:right="94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4,720</w:t>
            </w:r>
          </w:p>
        </w:tc>
        <w:tc>
          <w:tcPr>
            <w:tcW w:w="186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100%</w:t>
            </w:r>
          </w:p>
        </w:tc>
      </w:tr>
      <w:tr>
        <w:trPr>
          <w:trHeight w:val="180"/>
        </w:trPr>
        <w:tc>
          <w:tcPr>
            <w:tcW w:w="3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Offering proceeds</w:t>
            </w:r>
          </w:p>
        </w:tc>
        <w:tc>
          <w:tcPr>
            <w:tcW w:w="9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r>
      <w:tr>
        <w:trPr>
          <w:trHeight w:val="171"/>
        </w:trPr>
        <w:tc>
          <w:tcPr>
            <w:tcW w:w="3120" w:type="dxa"/>
            <w:vAlign w:val="bottom"/>
          </w:tcPr>
          <w:p>
            <w:pPr>
              <w:ind w:left="80"/>
              <w:spacing w:after="0" w:line="171" w:lineRule="exact"/>
              <w:rPr>
                <w:sz w:val="20"/>
                <w:szCs w:val="20"/>
                <w:color w:val="auto"/>
              </w:rPr>
            </w:pPr>
            <w:r>
              <w:rPr>
                <w:rFonts w:ascii="Times New Roman" w:cs="Times New Roman" w:eastAsia="Times New Roman" w:hAnsi="Times New Roman"/>
                <w:sz w:val="15"/>
                <w:szCs w:val="15"/>
                <w:color w:val="auto"/>
              </w:rPr>
              <w:t>Total sources of distributions</w:t>
            </w:r>
          </w:p>
        </w:tc>
        <w:tc>
          <w:tcPr>
            <w:tcW w:w="1960" w:type="dxa"/>
            <w:vAlign w:val="bottom"/>
            <w:gridSpan w:val="2"/>
          </w:tcPr>
          <w:p>
            <w:pPr>
              <w:jc w:val="right"/>
              <w:ind w:right="905"/>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85"/>
              <w:spacing w:after="0" w:line="171" w:lineRule="exact"/>
              <w:rPr>
                <w:sz w:val="20"/>
                <w:szCs w:val="20"/>
                <w:color w:val="auto"/>
              </w:rPr>
            </w:pPr>
            <w:r>
              <w:rPr>
                <w:rFonts w:ascii="Times New Roman" w:cs="Times New Roman" w:eastAsia="Times New Roman" w:hAnsi="Times New Roman"/>
                <w:sz w:val="15"/>
                <w:szCs w:val="15"/>
                <w:color w:val="auto"/>
              </w:rPr>
              <w:t>9,952</w:t>
            </w:r>
          </w:p>
        </w:tc>
        <w:tc>
          <w:tcPr>
            <w:tcW w:w="1880" w:type="dxa"/>
            <w:vAlign w:val="bottom"/>
            <w:gridSpan w:val="2"/>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100%</w:t>
            </w:r>
          </w:p>
        </w:tc>
        <w:tc>
          <w:tcPr>
            <w:tcW w:w="1300" w:type="dxa"/>
            <w:vAlign w:val="bottom"/>
            <w:gridSpan w:val="2"/>
          </w:tcPr>
          <w:p>
            <w:pPr>
              <w:jc w:val="right"/>
              <w:ind w:right="945"/>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4,720</w:t>
            </w:r>
          </w:p>
        </w:tc>
        <w:tc>
          <w:tcPr>
            <w:tcW w:w="1860" w:type="dxa"/>
            <w:vAlign w:val="bottom"/>
            <w:gridSpan w:val="2"/>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100%</w:t>
            </w:r>
          </w:p>
        </w:tc>
      </w:tr>
      <w:tr>
        <w:trPr>
          <w:trHeight w:val="20"/>
        </w:trPr>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120" w:type="dxa"/>
            <w:vAlign w:val="bottom"/>
            <w:shd w:val="clear" w:color="auto" w:fill="CFF0FC"/>
          </w:tcPr>
          <w:p>
            <w:pPr>
              <w:ind w:left="40"/>
              <w:spacing w:after="0" w:line="154"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1960" w:type="dxa"/>
            <w:vAlign w:val="bottom"/>
            <w:gridSpan w:val="2"/>
            <w:shd w:val="clear" w:color="auto" w:fill="CFF0FC"/>
          </w:tcPr>
          <w:p>
            <w:pPr>
              <w:jc w:val="right"/>
              <w:ind w:right="905"/>
              <w:spacing w:after="0" w:line="154"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ind w:right="85"/>
              <w:spacing w:after="0" w:line="154" w:lineRule="exact"/>
              <w:rPr>
                <w:sz w:val="20"/>
                <w:szCs w:val="20"/>
                <w:color w:val="auto"/>
              </w:rPr>
            </w:pPr>
            <w:r>
              <w:rPr>
                <w:rFonts w:ascii="Times New Roman" w:cs="Times New Roman" w:eastAsia="Times New Roman" w:hAnsi="Times New Roman"/>
                <w:sz w:val="15"/>
                <w:szCs w:val="15"/>
                <w:color w:val="auto"/>
              </w:rPr>
              <w:t>11,738</w:t>
            </w:r>
          </w:p>
        </w:tc>
        <w:tc>
          <w:tcPr>
            <w:tcW w:w="16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945"/>
              <w:spacing w:after="0" w:line="154"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ind w:right="65"/>
              <w:spacing w:after="0" w:line="154" w:lineRule="exact"/>
              <w:rPr>
                <w:sz w:val="20"/>
                <w:szCs w:val="20"/>
                <w:color w:val="auto"/>
              </w:rPr>
            </w:pPr>
            <w:r>
              <w:rPr>
                <w:rFonts w:ascii="Times New Roman" w:cs="Times New Roman" w:eastAsia="Times New Roman" w:hAnsi="Times New Roman"/>
                <w:sz w:val="15"/>
                <w:szCs w:val="15"/>
                <w:color w:val="auto"/>
              </w:rPr>
              <w:t>5,506</w:t>
            </w:r>
          </w:p>
        </w:tc>
        <w:tc>
          <w:tcPr>
            <w:tcW w:w="16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r>
      <w:tr>
        <w:trPr>
          <w:trHeight w:val="180"/>
        </w:trPr>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Funds from Operations</w:t>
            </w:r>
          </w:p>
        </w:tc>
        <w:tc>
          <w:tcPr>
            <w:tcW w:w="1960" w:type="dxa"/>
            <w:vAlign w:val="bottom"/>
            <w:gridSpan w:val="2"/>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11,667</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00" w:type="dxa"/>
            <w:vAlign w:val="bottom"/>
            <w:gridSpan w:val="2"/>
          </w:tcPr>
          <w:p>
            <w:pPr>
              <w:jc w:val="right"/>
              <w:ind w:right="94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5,003</w:t>
            </w: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3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Adjusted Funds from Operations</w:t>
            </w:r>
          </w:p>
        </w:tc>
        <w:tc>
          <w:tcPr>
            <w:tcW w:w="1960" w:type="dxa"/>
            <w:vAlign w:val="bottom"/>
            <w:gridSpan w:val="2"/>
            <w:shd w:val="clear" w:color="auto" w:fill="CFF0FC"/>
          </w:tcPr>
          <w:p>
            <w:pPr>
              <w:jc w:val="right"/>
              <w:ind w:right="90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11,569</w:t>
            </w:r>
          </w:p>
        </w:tc>
        <w:tc>
          <w:tcPr>
            <w:tcW w:w="1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94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4,357</w:t>
            </w:r>
          </w:p>
        </w:tc>
        <w:tc>
          <w:tcPr>
            <w:tcW w:w="1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-968375</wp:posOffset>
            </wp:positionV>
            <wp:extent cx="10668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-968375</wp:posOffset>
            </wp:positionV>
            <wp:extent cx="12827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8270" cy="6985"/>
                    </a:xfrm>
                    <a:prstGeom prst="rect">
                      <a:avLst/>
                    </a:prstGeom>
                    <a:noFill/>
                  </pic:spPr>
                </pic:pic>
              </a:graphicData>
            </a:graphic>
          </wp:anchor>
        </w:drawing>
        <w:drawing>
          <wp:anchor simplePos="0" relativeHeight="251657728" behindDoc="1" locked="0" layoutInCell="0" allowOverlap="1">
            <wp:simplePos x="0" y="0"/>
            <wp:positionH relativeFrom="column">
              <wp:posOffset>5985510</wp:posOffset>
            </wp:positionH>
            <wp:positionV relativeFrom="paragraph">
              <wp:posOffset>-968375</wp:posOffset>
            </wp:positionV>
            <wp:extent cx="9969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9695" cy="6985"/>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-483870</wp:posOffset>
            </wp:positionV>
            <wp:extent cx="10668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-483870</wp:posOffset>
            </wp:positionV>
            <wp:extent cx="12827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270" cy="6985"/>
                    </a:xfrm>
                    <a:prstGeom prst="rect">
                      <a:avLst/>
                    </a:prstGeom>
                    <a:noFill/>
                  </pic:spPr>
                </pic:pic>
              </a:graphicData>
            </a:graphic>
          </wp:anchor>
        </w:drawing>
        <w:drawing>
          <wp:anchor simplePos="0" relativeHeight="251657728" behindDoc="1" locked="0" layoutInCell="0" allowOverlap="1">
            <wp:simplePos x="0" y="0"/>
            <wp:positionH relativeFrom="column">
              <wp:posOffset>5985510</wp:posOffset>
            </wp:positionH>
            <wp:positionV relativeFrom="paragraph">
              <wp:posOffset>-483870</wp:posOffset>
            </wp:positionV>
            <wp:extent cx="9969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9695" cy="6985"/>
                    </a:xfrm>
                    <a:prstGeom prst="rect">
                      <a:avLst/>
                    </a:prstGeom>
                    <a:noFill/>
                  </pic:spPr>
                </pic:pic>
              </a:graphicData>
            </a:graphic>
          </wp:anchor>
        </w:drawing>
      </w:r>
    </w:p>
    <w:p>
      <w:pPr>
        <w:spacing w:after="0" w:line="55"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In addition to the distributions paid on our common stock, during the three months ended March 31, 2026 and 2025, we paid $0.5 million and $1.1 million, respectively, for Mandatorily Redeemable Instruments. Such amounts are recorded in Mandatorily redeemable instruments interest costs on our Condensed Consolidated Statements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Asset Value</w:t>
      </w:r>
    </w:p>
    <w:p>
      <w:pPr>
        <w:spacing w:after="0" w:line="1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Our board of directors, including a majority of our independent directors, has adopted valuation guidelines that contain a comprehensive set of methodologies to be used by the Adviser and our independent valuation advisor in connection with estimating the values of our assets and liabilities for purposes of our NAV calculation. The overarching principle of these guidelines is to produce a valuation that represents a fair and accurate estimate of the value of our investments or the price that would be received for our investments in an arm’s-length transaction between a willing buyer and a willing seller in possession of all material information about our investments. These valuation guidelines are largely based upon standard industry practices used by private, open-end real estate funds and other public, non-listed REITs, and are administered by the Adviser.</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5"/>
          <w:szCs w:val="15"/>
          <w:color w:val="auto"/>
        </w:rPr>
        <w:t xml:space="preserve">As a public company, we are required to issue financial statements based on historical cost in accordance with GAAP, which are subject to an independent audit. To calculate our NAV for purposes of establishing a purchase and repurchase price for our shares, we have adopted a model, as explained below, that adjusts the value of our assets from historical cost to fair value in accordance with the GAAP principles set forth in FASB Accounting Standards Codification Topic 820, </w:t>
      </w:r>
      <w:r>
        <w:rPr>
          <w:rFonts w:ascii="Times New Roman" w:cs="Times New Roman" w:eastAsia="Times New Roman" w:hAnsi="Times New Roman"/>
          <w:sz w:val="15"/>
          <w:szCs w:val="15"/>
          <w:i w:val="1"/>
          <w:iCs w:val="1"/>
          <w:color w:val="auto"/>
        </w:rPr>
        <w:t>Fair Value Measurements and Disclosures</w:t>
      </w:r>
      <w:r>
        <w:rPr>
          <w:rFonts w:ascii="Times New Roman" w:cs="Times New Roman" w:eastAsia="Times New Roman" w:hAnsi="Times New Roman"/>
          <w:sz w:val="15"/>
          <w:szCs w:val="15"/>
          <w:color w:val="auto"/>
        </w:rPr>
        <w:t>. However, our valuation procedures and our NAV are not subject to GAAP and are not subject to independent audit. Our NAV may differ from equity reflected on our audited financial statements, even if we are required to adopt a fair value basis of accounting for GAAP financial statement purposes in the future. Because these fair value calculations involve significant professional judgment in the application of both observable and unobservable attributes, the calculated fair value of our assets may differ from their actual realizable value or future fair value. While we believe our NAV calculation methodologies are consistent with standard industry practices, there is no rule or regulation that requires that we calculate NAV in a certain way. As a result, other public, non-listed REITs may use different methodologies or assumptions to determine NAV.</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valuation methods are used for purposes of calculating our NAV:</w:t>
      </w:r>
    </w:p>
    <w:p>
      <w:pPr>
        <w:spacing w:after="0" w:line="97" w:lineRule="exact"/>
        <w:rPr>
          <w:sz w:val="20"/>
          <w:szCs w:val="20"/>
          <w:color w:val="auto"/>
        </w:rPr>
      </w:pPr>
    </w:p>
    <w:p>
      <w:pPr>
        <w:ind w:left="1040" w:right="220" w:hanging="520"/>
        <w:spacing w:after="0" w:line="259" w:lineRule="auto"/>
        <w:tabs>
          <w:tab w:leader="none" w:pos="10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in real property are valued by our independent valuation advisor and independent third-party appraisal firms using the income approach’s discounted cash flow method. The discounted cash flow method takes into consideration contractual rent payments over the life of the lease term offset by any capitalized expenditures. Our independent valuation advisor and independent third-party appraisers may supplement the discounted cash flow analysis with a sales comparison approach and the income approach’s direct capitalization method, but typically reconcile exclusively to the discounted cash flow method.</w:t>
      </w:r>
    </w:p>
    <w:p>
      <w:pPr>
        <w:spacing w:after="0" w:line="63" w:lineRule="exact"/>
        <w:rPr>
          <w:rFonts w:ascii="Times New Roman" w:cs="Times New Roman" w:eastAsia="Times New Roman" w:hAnsi="Times New Roman"/>
          <w:sz w:val="15"/>
          <w:szCs w:val="15"/>
          <w:color w:val="auto"/>
        </w:rPr>
      </w:pPr>
    </w:p>
    <w:p>
      <w:pPr>
        <w:ind w:left="1040" w:right="240" w:hanging="520"/>
        <w:spacing w:after="0" w:line="259" w:lineRule="auto"/>
        <w:tabs>
          <w:tab w:leader="none" w:pos="10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general, investments in real estate debt are valued by an independent debt valuation services firm using a variety of methods, including but not limited to, market quotations and/or discounted cash flow method. Our independent debt valuation services firm calculates the fair value of loans in accordance with GAAP and by considering all relevant calculations and scenarios that a market participant would consider in evaluating the financial instrument. Most loans held as an investment are valued by discounting debt service cash flows using a market yield.</w:t>
      </w:r>
    </w:p>
    <w:p>
      <w:pPr>
        <w:spacing w:after="0" w:line="63" w:lineRule="exact"/>
        <w:rPr>
          <w:rFonts w:ascii="Times New Roman" w:cs="Times New Roman" w:eastAsia="Times New Roman" w:hAnsi="Times New Roman"/>
          <w:sz w:val="15"/>
          <w:szCs w:val="15"/>
          <w:color w:val="auto"/>
        </w:rPr>
      </w:pPr>
    </w:p>
    <w:p>
      <w:pPr>
        <w:ind w:left="1040" w:hanging="520"/>
        <w:spacing w:after="0" w:line="315" w:lineRule="auto"/>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real estate-related and other securities consists of investments in commercial mortgage-backed securities. We classify real estate-related and other securities as trading securities which the Adviser generally values on the basis of publicly available market quotations or at fair value determined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7180580"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42" w:name="page43"/>
    <w:bookmarkEnd w:id="42"/>
    <w:p>
      <w:pPr>
        <w:ind w:left="1040" w:right="140" w:hanging="520"/>
        <w:spacing w:after="0" w:line="257" w:lineRule="auto"/>
        <w:tabs>
          <w:tab w:leader="none" w:pos="1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swaps are valued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64" w:lineRule="exact"/>
        <w:rPr>
          <w:rFonts w:ascii="Times New Roman" w:cs="Times New Roman" w:eastAsia="Times New Roman" w:hAnsi="Times New Roman"/>
          <w:sz w:val="15"/>
          <w:szCs w:val="15"/>
          <w:color w:val="auto"/>
        </w:rPr>
      </w:pPr>
    </w:p>
    <w:p>
      <w:pPr>
        <w:ind w:left="1040" w:hanging="520"/>
        <w:spacing w:after="0"/>
        <w:tabs>
          <w:tab w:leader="none" w:pos="1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Treasury note futures contracts are valued based on quoted market prices for identical instruments.</w:t>
      </w:r>
    </w:p>
    <w:p>
      <w:pPr>
        <w:spacing w:after="0" w:line="96" w:lineRule="exact"/>
        <w:rPr>
          <w:rFonts w:ascii="Times New Roman" w:cs="Times New Roman" w:eastAsia="Times New Roman" w:hAnsi="Times New Roman"/>
          <w:sz w:val="15"/>
          <w:szCs w:val="15"/>
          <w:color w:val="auto"/>
        </w:rPr>
      </w:pPr>
    </w:p>
    <w:p>
      <w:pPr>
        <w:ind w:left="1040" w:right="80" w:hanging="520"/>
        <w:spacing w:after="0" w:line="254" w:lineRule="auto"/>
        <w:tabs>
          <w:tab w:leader="none" w:pos="1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Liabilities include the fees payable to the Adviser and the Dealer Manager, accounts payable, accrued operating expenses, property-level mortgages, the Repurchase Facility, any portfolio-level credit facilities and other liabilities, where applicable. Other than property-level mortgages and the Repurchase Facility, we include the cost basis of our liabilities as part of NAV, which approximates fair value. These carrying amounts are meant to reasonably approximate fair value due to the liquid and short-term nature of the instruments. We include as part of NAV the fair value of our property-level mortgages and Repurchase Facility, which are valued monthly by an independent valuation services firm. For most loans valued from the borrower’s perspective, our independent debt valuation services firm utilizes a discounted cash flow analysis in evaluating its fair value conclusions. Additional inputs or adjustments to fair value conclusions may be applicable based on observations of market participant behavior.</w:t>
      </w:r>
    </w:p>
    <w:p>
      <w:pPr>
        <w:spacing w:after="0" w:line="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In accordance with the valuation guidelines, our fund administrator calculates our NAV per share for each class of our common stock as of the last calendar day of each month, using a process that reflects several components (each as described above), including the estimated fair value of (1) each of our properties based upon individual appraisal reports provided quarterly by third-party independent valuation firms or our independent valuation advisor, (2) our real estate-related assets for which third-party market quotes are available, (3) our other real estate-related assets, if any, and (4) our other assets and liabilities. The NAV per share for the share classes we are offering to the public may differ because stockholder servicing fees, management fees and the performance participation allocable to a specific class of shares are only included in the NAV calculation for that class.</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At the end of each month, before taking into consideration additional issuances of shares of capital stock, share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on the first calendar day of such month. The NAV calculation is available generally within 15 calendar days after the end of the applicable month. Changes in our monthly NAV include accruals of our net portfolio income, interest expense, the management fee, any accrued performance participation, distributions, unrealized/realized gains and losses on assets, any applicable organization and offering costs and any expense reimbursements. Changes in our monthly NAV also include material non-recurring events, such as capital expenditures and material property acquisitions and dispositions occurring during the month. Notwithstanding anything herein to the contrary, the Adviser may in its discretion consider material market data and other information that becomes available after the end of the applicable month in valuing our assets and liabilities and calculating our NAV for a particular month. On an ongoing basis, the Adviser will adjust the accruals to reflect actual operating results and the outstanding receivable, payable and other account balances resulting from the accumulation of monthly accruals for which financial information is available.</w:t>
      </w:r>
    </w:p>
    <w:p>
      <w:pPr>
        <w:spacing w:after="0" w:line="6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The Adviser advanced our organization and offering expenses on our behalf (other than upfront selling commissions, dealer manager fees and stockholder servicing fees) through July 22, 2024. On such date, we began reimbursing the Adviser for all such advanced costs ratably over a period that will continue until 60 months following such date. For purposes of calculating our NAV, the organization and offering expenses paid by the Adviser through July 22, 2024 will not be recognized as expenses, or as a component of equity and reflected in our NAV, until we reimburse the Adviser for these expenses. In addition, the operating expenses paid by the Adviser through the earlier of (i) the first date that our NAV reaches $1 billion and (ii) December 31, 2026, will not be recognized as expenses and reflected in our NAV, until we reimburse the Adviser for these expenses.</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Following the aggregation of the net asset values of our investments, the addition of any other assets (such as cash on hand) and the deduction of any other liabilities, our fund administrator incorporates any class-specific adjustments to our NAV, including additional issuances and repurchases of our common stock and accruals of class-specific stockholder servicing fees, management fees and any accrued performance participation. For each applicable class of shares, each of the stockholder servicing fee and the management fee is calculated as a percentage of the aggregate NAV for such class of shares. At the close of business on the record date for any declared distribution, our NAV for each class will be reduced to reflect the accrual of our liability to pay any distribution to our stockholders of record of such class. NAV per share for each class is calculated by dividing such class’s NAV at the end of each month by the number of shares outstanding for that class at the end of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552450</wp:posOffset>
            </wp:positionV>
            <wp:extent cx="7180580"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00" w:top="933" w:right="339" w:bottom="1440" w:gutter="0" w:footer="0" w:header="0"/>
        </w:sectPr>
      </w:pPr>
    </w:p>
    <w:bookmarkStart w:id="43" w:name="page44"/>
    <w:bookmarkEnd w:id="43"/>
    <w:p>
      <w:pPr>
        <w:ind w:right="40"/>
        <w:spacing w:after="0" w:line="278" w:lineRule="auto"/>
        <w:rPr>
          <w:sz w:val="20"/>
          <w:szCs w:val="20"/>
          <w:color w:val="auto"/>
        </w:rPr>
      </w:pPr>
      <w:r>
        <w:rPr>
          <w:rFonts w:ascii="Times New Roman" w:cs="Times New Roman" w:eastAsia="Times New Roman" w:hAnsi="Times New Roman"/>
          <w:sz w:val="15"/>
          <w:szCs w:val="15"/>
          <w:color w:val="auto"/>
        </w:rPr>
        <w:t>We calculate NAV per share in accordance with the valuation guidelines that have been approved by our board of directors. We believe our NAV is a meaningful supplemental non-GAAP operating metric. The following table provides a breakdown of the major components of our NAV as of March 31, 2026 ($ and shares/units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Components of NAV</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5"/>
                <w:szCs w:val="15"/>
                <w:b w:val="1"/>
                <w:bCs w:val="1"/>
                <w:color w:val="auto"/>
              </w:rPr>
              <w:t>March 31, 2026</w:t>
            </w:r>
          </w:p>
        </w:tc>
      </w:tr>
      <w:tr>
        <w:trPr>
          <w:trHeight w:val="171"/>
        </w:trPr>
        <w:tc>
          <w:tcPr>
            <w:tcW w:w="89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Investments in real estate</w:t>
            </w:r>
          </w:p>
        </w:tc>
        <w:tc>
          <w:tcPr>
            <w:tcW w:w="520" w:type="dxa"/>
            <w:vAlign w:val="bottom"/>
            <w:gridSpan w:val="2"/>
            <w:shd w:val="clear" w:color="auto" w:fill="CFF0FC"/>
          </w:tcPr>
          <w:p>
            <w:pPr>
              <w:jc w:val="right"/>
              <w:ind w:right="22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1,341,533</w:t>
            </w:r>
          </w:p>
        </w:tc>
      </w:tr>
      <w:tr>
        <w:trPr>
          <w:trHeight w:val="180"/>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real estate debt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304,573</w:t>
            </w:r>
          </w:p>
        </w:tc>
      </w:tr>
      <w:tr>
        <w:trPr>
          <w:trHeight w:val="180"/>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Investments in real estate-related and other securities</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15,095</w:t>
            </w:r>
          </w:p>
        </w:tc>
      </w:tr>
      <w:tr>
        <w:trPr>
          <w:trHeight w:val="180"/>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15,285</w:t>
            </w:r>
          </w:p>
        </w:tc>
      </w:tr>
      <w:tr>
        <w:trPr>
          <w:trHeight w:val="180"/>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4,676</w:t>
            </w:r>
          </w:p>
        </w:tc>
      </w:tr>
      <w:tr>
        <w:trPr>
          <w:trHeight w:val="180"/>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9,797</w:t>
            </w:r>
          </w:p>
        </w:tc>
      </w:tr>
      <w:tr>
        <w:trPr>
          <w:trHeight w:val="180"/>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Debt obligations</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(669,560)</w:t>
            </w:r>
          </w:p>
        </w:tc>
      </w:tr>
      <w:tr>
        <w:trPr>
          <w:trHeight w:val="180"/>
        </w:trPr>
        <w:tc>
          <w:tcPr>
            <w:tcW w:w="890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(32,334)</w:t>
            </w:r>
          </w:p>
        </w:tc>
      </w:tr>
      <w:tr>
        <w:trPr>
          <w:trHeight w:val="180"/>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Accrued performance participation allocation</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(1,780)</w:t>
            </w:r>
          </w:p>
        </w:tc>
      </w:tr>
      <w:tr>
        <w:trPr>
          <w:trHeight w:val="180"/>
        </w:trPr>
        <w:tc>
          <w:tcPr>
            <w:tcW w:w="89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Stockholder servicing fees payable the following month</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(80)</w:t>
            </w:r>
          </w:p>
        </w:tc>
      </w:tr>
      <w:tr>
        <w:trPr>
          <w:trHeight w:val="180"/>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Non-controlling interests in joint ventures</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(17,917)</w:t>
            </w:r>
          </w:p>
        </w:tc>
      </w:tr>
      <w:tr>
        <w:trPr>
          <w:trHeight w:val="180"/>
        </w:trPr>
        <w:tc>
          <w:tcPr>
            <w:tcW w:w="89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Mandatorily redeemable instruments</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(22,512)</w:t>
            </w:r>
          </w:p>
        </w:tc>
      </w:tr>
      <w:tr>
        <w:trPr>
          <w:trHeight w:val="171"/>
        </w:trPr>
        <w:tc>
          <w:tcPr>
            <w:tcW w:w="890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Asset Value</w:t>
            </w:r>
          </w:p>
        </w:tc>
        <w:tc>
          <w:tcPr>
            <w:tcW w:w="520" w:type="dxa"/>
            <w:vAlign w:val="bottom"/>
            <w:gridSpan w:val="2"/>
            <w:shd w:val="clear" w:color="auto" w:fill="CFF0FC"/>
          </w:tcPr>
          <w:p>
            <w:pPr>
              <w:jc w:val="right"/>
              <w:ind w:right="2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86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946,776</w:t>
            </w:r>
          </w:p>
        </w:tc>
      </w:tr>
      <w:tr>
        <w:trPr>
          <w:trHeight w:val="185"/>
        </w:trPr>
        <w:tc>
          <w:tcPr>
            <w:tcW w:w="8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5"/>
                <w:szCs w:val="15"/>
                <w:color w:val="auto"/>
              </w:rPr>
              <w:t>Number of outstanding shares/units</w:t>
            </w:r>
          </w:p>
        </w:tc>
        <w:tc>
          <w:tcPr>
            <w:tcW w:w="2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83,507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-8255</wp:posOffset>
            </wp:positionV>
            <wp:extent cx="1368425"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68425" cy="698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5715</wp:posOffset>
            </wp:positionV>
            <wp:extent cx="136842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68425" cy="6985"/>
                    </a:xfrm>
                    <a:prstGeom prst="rect">
                      <a:avLst/>
                    </a:prstGeom>
                    <a:noFill/>
                  </pic:spPr>
                </pic:pic>
              </a:graphicData>
            </a:graphic>
          </wp:anchor>
        </w:drawing>
      </w:r>
    </w:p>
    <w:p>
      <w:pPr>
        <w:ind w:right="20" w:firstLine="10"/>
        <w:spacing w:after="0" w:line="365" w:lineRule="auto"/>
        <w:tabs>
          <w:tab w:leader="none" w:pos="142"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March 31, 2026, and the NAV attributable to current holders of Class D shares will not be included in the computation of stockholder servicing fees charged on Class D shares in perpetuity. As of March 31, 2026, we had accrued under GAAP stockholder servicing fees of $7.1 million.</w:t>
      </w:r>
    </w:p>
    <w:p>
      <w:pPr>
        <w:spacing w:after="0" w:line="2" w:lineRule="exact"/>
        <w:rPr>
          <w:rFonts w:ascii="Times New Roman" w:cs="Times New Roman" w:eastAsia="Times New Roman" w:hAnsi="Times New Roman"/>
          <w:sz w:val="16"/>
          <w:szCs w:val="16"/>
          <w:color w:val="auto"/>
          <w:vertAlign w:val="superscript"/>
        </w:rPr>
      </w:pPr>
    </w:p>
    <w:p>
      <w:pPr>
        <w:ind w:right="20" w:firstLine="10"/>
        <w:spacing w:after="0" w:line="379" w:lineRule="auto"/>
        <w:tabs>
          <w:tab w:leader="none" w:pos="142"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Represents Class E units in the Operating Partnership (the “Mandatorily Redeemable Instruments”) held by the Adviser that are mandatorily redeemable and only subject to delays to the continuous obligation to ultimately redeem such units once sufficient availability exists under the share repurchase agreements. Therefore, the Mandatorily Redeemable Instruments held by the Adviser are classified as a liability pursuant to Topic 480 — </w:t>
      </w:r>
      <w:r>
        <w:rPr>
          <w:rFonts w:ascii="Times New Roman" w:cs="Times New Roman" w:eastAsia="Times New Roman" w:hAnsi="Times New Roman"/>
          <w:sz w:val="12"/>
          <w:szCs w:val="12"/>
          <w:i w:val="1"/>
          <w:iCs w:val="1"/>
          <w:color w:val="auto"/>
        </w:rPr>
        <w:t>Distinguishing Liabilities from Equity</w:t>
      </w:r>
      <w:r>
        <w:rPr>
          <w:rFonts w:ascii="Times New Roman" w:cs="Times New Roman" w:eastAsia="Times New Roman" w:hAnsi="Times New Roman"/>
          <w:sz w:val="12"/>
          <w:szCs w:val="12"/>
          <w:color w:val="auto"/>
        </w:rPr>
        <w:t xml:space="preserve"> and are initially presented at the initial funding amount received, which is equivalent to fair value at the issuance dates. Subsequently, the Mandatorily Redeemable Instruments are carried at their cash redemption value as if the units were repurchased or redeemable at the reporting date, which equals NAV per Class E unit of $11.53. As of March 31, 2026, there were approximately 2.0 million Class E units included in Mandatorily Redeemable Instruments.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breakdown of our total NAV and NAV per share/unit by class as of March 31, 2026 ($ and shares/units in thousands except per-share/unit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7"/>
              </w:rPr>
              <w:t>Operating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4"/>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05"/>
              <w:spacing w:after="0" w:line="164" w:lineRule="exact"/>
              <w:rPr>
                <w:sz w:val="20"/>
                <w:szCs w:val="20"/>
                <w:color w:val="auto"/>
              </w:rPr>
            </w:pPr>
            <w:r>
              <w:rPr>
                <w:rFonts w:ascii="Times New Roman" w:cs="Times New Roman" w:eastAsia="Times New Roman" w:hAnsi="Times New Roman"/>
                <w:sz w:val="15"/>
                <w:szCs w:val="15"/>
                <w:b w:val="1"/>
                <w:bCs w:val="1"/>
                <w:color w:val="auto"/>
                <w:w w:val="98"/>
              </w:rPr>
              <w:t>Class 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85"/>
              <w:spacing w:after="0" w:line="164" w:lineRule="exact"/>
              <w:rPr>
                <w:sz w:val="20"/>
                <w:szCs w:val="20"/>
                <w:color w:val="auto"/>
              </w:rPr>
            </w:pPr>
            <w:r>
              <w:rPr>
                <w:rFonts w:ascii="Times New Roman" w:cs="Times New Roman" w:eastAsia="Times New Roman" w:hAnsi="Times New Roman"/>
                <w:sz w:val="15"/>
                <w:szCs w:val="15"/>
                <w:b w:val="1"/>
                <w:bCs w:val="1"/>
                <w:color w:val="auto"/>
              </w:rPr>
              <w:t>Class 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Class 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65"/>
              <w:spacing w:after="0" w:line="164" w:lineRule="exact"/>
              <w:rPr>
                <w:sz w:val="20"/>
                <w:szCs w:val="20"/>
                <w:color w:val="auto"/>
              </w:rPr>
            </w:pPr>
            <w:r>
              <w:rPr>
                <w:rFonts w:ascii="Times New Roman" w:cs="Times New Roman" w:eastAsia="Times New Roman" w:hAnsi="Times New Roman"/>
                <w:sz w:val="15"/>
                <w:szCs w:val="15"/>
                <w:b w:val="1"/>
                <w:bCs w:val="1"/>
                <w:color w:val="auto"/>
              </w:rPr>
              <w:t>Class 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45"/>
              <w:spacing w:after="0" w:line="164" w:lineRule="exact"/>
              <w:rPr>
                <w:sz w:val="20"/>
                <w:szCs w:val="20"/>
                <w:color w:val="auto"/>
              </w:rPr>
            </w:pPr>
            <w:r>
              <w:rPr>
                <w:rFonts w:ascii="Times New Roman" w:cs="Times New Roman" w:eastAsia="Times New Roman" w:hAnsi="Times New Roman"/>
                <w:sz w:val="15"/>
                <w:szCs w:val="15"/>
                <w:b w:val="1"/>
                <w:bCs w:val="1"/>
                <w:color w:val="auto"/>
              </w:rPr>
              <w:t>Class E</w:t>
            </w:r>
          </w:p>
        </w:tc>
        <w:tc>
          <w:tcPr>
            <w:tcW w:w="140" w:type="dxa"/>
            <w:vAlign w:val="bottom"/>
          </w:tcPr>
          <w:p>
            <w:pPr>
              <w:spacing w:after="0"/>
              <w:rPr>
                <w:sz w:val="14"/>
                <w:szCs w:val="14"/>
                <w:color w:val="auto"/>
              </w:rPr>
            </w:pPr>
          </w:p>
        </w:tc>
        <w:tc>
          <w:tcPr>
            <w:tcW w:w="66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8"/>
              </w:rPr>
              <w:t>Class X</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25"/>
              <w:spacing w:after="0" w:line="164" w:lineRule="exact"/>
              <w:rPr>
                <w:sz w:val="20"/>
                <w:szCs w:val="20"/>
                <w:color w:val="auto"/>
              </w:rPr>
            </w:pPr>
            <w:r>
              <w:rPr>
                <w:rFonts w:ascii="Times New Roman" w:cs="Times New Roman" w:eastAsia="Times New Roman" w:hAnsi="Times New Roman"/>
                <w:sz w:val="15"/>
                <w:szCs w:val="15"/>
                <w:b w:val="1"/>
                <w:bCs w:val="1"/>
                <w:color w:val="auto"/>
              </w:rPr>
              <w:t>Class 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65"/>
              <w:spacing w:after="0" w:line="164" w:lineRule="exact"/>
              <w:rPr>
                <w:sz w:val="20"/>
                <w:szCs w:val="20"/>
                <w:color w:val="auto"/>
              </w:rPr>
            </w:pPr>
            <w:r>
              <w:rPr>
                <w:rFonts w:ascii="Times New Roman" w:cs="Times New Roman" w:eastAsia="Times New Roman" w:hAnsi="Times New Roman"/>
                <w:sz w:val="15"/>
                <w:szCs w:val="15"/>
                <w:b w:val="1"/>
                <w:bCs w:val="1"/>
                <w:color w:val="auto"/>
                <w:w w:val="99"/>
              </w:rPr>
              <w:t>Partnership</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4"/>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NAV Per Share/Unit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5"/>
              <w:spacing w:after="0" w:line="213" w:lineRule="exact"/>
              <w:rPr>
                <w:sz w:val="20"/>
                <w:szCs w:val="20"/>
                <w:color w:val="auto"/>
              </w:rPr>
            </w:pPr>
            <w:r>
              <w:rPr>
                <w:rFonts w:ascii="Times New Roman" w:cs="Times New Roman" w:eastAsia="Times New Roman" w:hAnsi="Times New Roman"/>
                <w:sz w:val="15"/>
                <w:szCs w:val="15"/>
                <w:b w:val="1"/>
                <w:bCs w:val="1"/>
                <w:color w:val="auto"/>
                <w:w w:val="88"/>
              </w:rPr>
              <w:t>Units</w:t>
            </w:r>
            <w:r>
              <w:rPr>
                <w:rFonts w:ascii="Times New Roman" w:cs="Times New Roman" w:eastAsia="Times New Roman" w:hAnsi="Times New Roman"/>
                <w:sz w:val="20"/>
                <w:szCs w:val="20"/>
                <w:b w:val="1"/>
                <w:bCs w:val="1"/>
                <w:color w:val="auto"/>
                <w:w w:val="88"/>
                <w:vertAlign w:val="superscript"/>
              </w:rPr>
              <w:t>(1)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1"/>
        </w:trPr>
        <w:tc>
          <w:tcPr>
            <w:tcW w:w="29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Net asset value</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10,742</w:t>
            </w:r>
          </w:p>
        </w:tc>
        <w:tc>
          <w:tcPr>
            <w:tcW w:w="240" w:type="dxa"/>
            <w:vAlign w:val="bottom"/>
            <w:gridSpan w:val="2"/>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154,862</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ind w:lef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ind w:lef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669,496</w:t>
            </w:r>
          </w:p>
        </w:tc>
        <w:tc>
          <w:tcPr>
            <w:tcW w:w="22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ind w:left="3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111,419</w:t>
            </w:r>
          </w:p>
        </w:tc>
        <w:tc>
          <w:tcPr>
            <w:tcW w:w="22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257</w:t>
            </w:r>
          </w:p>
        </w:tc>
        <w:tc>
          <w:tcPr>
            <w:tcW w:w="260" w:type="dxa"/>
            <w:vAlign w:val="bottom"/>
            <w:gridSpan w:val="2"/>
            <w:shd w:val="clear" w:color="auto" w:fill="CFF0FC"/>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946,776</w:t>
            </w:r>
          </w:p>
        </w:tc>
      </w:tr>
      <w:tr>
        <w:trPr>
          <w:trHeight w:val="180"/>
        </w:trPr>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Number of outstanding shares/units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14,542</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58,084</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9,845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83,507</w:t>
            </w:r>
          </w:p>
        </w:tc>
      </w:tr>
      <w:tr>
        <w:trPr>
          <w:trHeight w:val="171"/>
        </w:trPr>
        <w:tc>
          <w:tcPr>
            <w:tcW w:w="29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NAV per share/unit</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10.60</w:t>
            </w:r>
          </w:p>
        </w:tc>
        <w:tc>
          <w:tcPr>
            <w:tcW w:w="240" w:type="dxa"/>
            <w:vAlign w:val="bottom"/>
            <w:gridSpan w:val="2"/>
            <w:shd w:val="clear" w:color="auto" w:fill="CFF0FC"/>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10.65</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ind w:lef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ind w:left="40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11.53</w:t>
            </w:r>
          </w:p>
        </w:tc>
        <w:tc>
          <w:tcPr>
            <w:tcW w:w="22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FF0FC"/>
          </w:tcPr>
          <w:p>
            <w:pPr>
              <w:ind w:left="3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11.32</w:t>
            </w:r>
          </w:p>
        </w:tc>
        <w:tc>
          <w:tcPr>
            <w:tcW w:w="220" w:type="dxa"/>
            <w:vAlign w:val="bottom"/>
            <w:gridSpan w:val="2"/>
            <w:shd w:val="clear" w:color="auto" w:fill="CFF0FC"/>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11.53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bl>
    <w:p>
      <w:pPr>
        <w:spacing w:after="0" w:line="61" w:lineRule="exact"/>
        <w:rPr>
          <w:sz w:val="20"/>
          <w:szCs w:val="20"/>
          <w:color w:val="auto"/>
        </w:rPr>
      </w:pPr>
    </w:p>
    <w:p>
      <w:pPr>
        <w:ind w:left="160" w:hanging="150"/>
        <w:spacing w:after="0"/>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Class E units held by the Special Limited Partner.</w:t>
      </w:r>
    </w:p>
    <w:p>
      <w:pPr>
        <w:spacing w:after="0" w:line="7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Set forth below are the weighted averages of the key assumptions in the discounted cash flow methodology used in the March 31, 2026 valuations, based on property types. Once we own more than one single-family rental, we will include the key assumptions for such property types.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Property Type</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Discount Rate</w:t>
            </w:r>
          </w:p>
        </w:tc>
        <w:tc>
          <w:tcPr>
            <w:tcW w:w="220" w:type="dxa"/>
            <w:vAlign w:val="bottom"/>
          </w:tcPr>
          <w:p>
            <w:pPr>
              <w:spacing w:after="0"/>
              <w:rPr>
                <w:sz w:val="17"/>
                <w:szCs w:val="17"/>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Exit Capitalization Rate</w:t>
            </w:r>
          </w:p>
        </w:tc>
      </w:tr>
      <w:tr>
        <w:trPr>
          <w:trHeight w:val="171"/>
        </w:trPr>
        <w:tc>
          <w:tcPr>
            <w:tcW w:w="63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Multifamily</w:t>
            </w:r>
          </w:p>
        </w:tc>
        <w:tc>
          <w:tcPr>
            <w:tcW w:w="1820" w:type="dxa"/>
            <w:vAlign w:val="bottom"/>
            <w:gridSpan w:val="2"/>
            <w:shd w:val="clear" w:color="auto" w:fill="CFF0FC"/>
          </w:tcPr>
          <w:p>
            <w:pPr>
              <w:jc w:val="center"/>
              <w:ind w:left="125"/>
              <w:spacing w:after="0" w:line="172" w:lineRule="exact"/>
              <w:rPr>
                <w:sz w:val="20"/>
                <w:szCs w:val="20"/>
                <w:color w:val="auto"/>
              </w:rPr>
            </w:pPr>
            <w:r>
              <w:rPr>
                <w:rFonts w:ascii="Times New Roman" w:cs="Times New Roman" w:eastAsia="Times New Roman" w:hAnsi="Times New Roman"/>
                <w:sz w:val="15"/>
                <w:szCs w:val="15"/>
                <w:color w:val="auto"/>
                <w:w w:val="97"/>
              </w:rPr>
              <w:t>7.31%</w:t>
            </w:r>
          </w:p>
        </w:tc>
        <w:tc>
          <w:tcPr>
            <w:tcW w:w="3160" w:type="dxa"/>
            <w:vAlign w:val="bottom"/>
            <w:gridSpan w:val="2"/>
            <w:shd w:val="clear" w:color="auto" w:fill="CFF0FC"/>
          </w:tcPr>
          <w:p>
            <w:pPr>
              <w:jc w:val="center"/>
              <w:ind w:left="125"/>
              <w:spacing w:after="0" w:line="172" w:lineRule="exact"/>
              <w:rPr>
                <w:sz w:val="20"/>
                <w:szCs w:val="20"/>
                <w:color w:val="auto"/>
              </w:rPr>
            </w:pPr>
            <w:r>
              <w:rPr>
                <w:rFonts w:ascii="Times New Roman" w:cs="Times New Roman" w:eastAsia="Times New Roman" w:hAnsi="Times New Roman"/>
                <w:sz w:val="15"/>
                <w:szCs w:val="15"/>
                <w:color w:val="auto"/>
              </w:rPr>
              <w:t>5.89%</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Industrial</w:t>
            </w:r>
          </w:p>
        </w:tc>
        <w:tc>
          <w:tcPr>
            <w:tcW w:w="1820" w:type="dxa"/>
            <w:vAlign w:val="bottom"/>
            <w:gridSpan w:val="2"/>
          </w:tcPr>
          <w:p>
            <w:pPr>
              <w:jc w:val="center"/>
              <w:ind w:left="125"/>
              <w:spacing w:after="0"/>
              <w:rPr>
                <w:sz w:val="20"/>
                <w:szCs w:val="20"/>
                <w:color w:val="auto"/>
              </w:rPr>
            </w:pPr>
            <w:r>
              <w:rPr>
                <w:rFonts w:ascii="Times New Roman" w:cs="Times New Roman" w:eastAsia="Times New Roman" w:hAnsi="Times New Roman"/>
                <w:sz w:val="15"/>
                <w:szCs w:val="15"/>
                <w:color w:val="auto"/>
                <w:w w:val="97"/>
              </w:rPr>
              <w:t>7.94%</w:t>
            </w:r>
          </w:p>
        </w:tc>
        <w:tc>
          <w:tcPr>
            <w:tcW w:w="3160" w:type="dxa"/>
            <w:vAlign w:val="bottom"/>
            <w:gridSpan w:val="2"/>
          </w:tcPr>
          <w:p>
            <w:pPr>
              <w:jc w:val="center"/>
              <w:ind w:left="125"/>
              <w:spacing w:after="0"/>
              <w:rPr>
                <w:sz w:val="20"/>
                <w:szCs w:val="20"/>
                <w:color w:val="auto"/>
              </w:rPr>
            </w:pPr>
            <w:r>
              <w:rPr>
                <w:rFonts w:ascii="Times New Roman" w:cs="Times New Roman" w:eastAsia="Times New Roman" w:hAnsi="Times New Roman"/>
                <w:sz w:val="15"/>
                <w:szCs w:val="15"/>
                <w:color w:val="auto"/>
              </w:rPr>
              <w:t>6.43%</w:t>
            </w:r>
          </w:p>
        </w:tc>
      </w:tr>
      <w:tr>
        <w:trPr>
          <w:trHeight w:val="18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Retail</w:t>
            </w:r>
          </w:p>
        </w:tc>
        <w:tc>
          <w:tcPr>
            <w:tcW w:w="1820" w:type="dxa"/>
            <w:vAlign w:val="bottom"/>
            <w:gridSpan w:val="2"/>
            <w:shd w:val="clear" w:color="auto" w:fill="CFF0FC"/>
          </w:tcPr>
          <w:p>
            <w:pPr>
              <w:jc w:val="center"/>
              <w:ind w:left="125"/>
              <w:spacing w:after="0"/>
              <w:rPr>
                <w:sz w:val="20"/>
                <w:szCs w:val="20"/>
                <w:color w:val="auto"/>
              </w:rPr>
            </w:pPr>
            <w:r>
              <w:rPr>
                <w:rFonts w:ascii="Times New Roman" w:cs="Times New Roman" w:eastAsia="Times New Roman" w:hAnsi="Times New Roman"/>
                <w:sz w:val="15"/>
                <w:szCs w:val="15"/>
                <w:color w:val="auto"/>
                <w:w w:val="97"/>
              </w:rPr>
              <w:t>7.64%</w:t>
            </w:r>
          </w:p>
        </w:tc>
        <w:tc>
          <w:tcPr>
            <w:tcW w:w="3160" w:type="dxa"/>
            <w:vAlign w:val="bottom"/>
            <w:gridSpan w:val="2"/>
            <w:shd w:val="clear" w:color="auto" w:fill="CFF0FC"/>
          </w:tcPr>
          <w:p>
            <w:pPr>
              <w:jc w:val="center"/>
              <w:ind w:left="125"/>
              <w:spacing w:after="0"/>
              <w:rPr>
                <w:sz w:val="20"/>
                <w:szCs w:val="20"/>
                <w:color w:val="auto"/>
              </w:rPr>
            </w:pPr>
            <w:r>
              <w:rPr>
                <w:rFonts w:ascii="Times New Roman" w:cs="Times New Roman" w:eastAsia="Times New Roman" w:hAnsi="Times New Roman"/>
                <w:sz w:val="15"/>
                <w:szCs w:val="15"/>
                <w:color w:val="auto"/>
              </w:rPr>
              <w:t>6.63%</w:t>
            </w:r>
          </w:p>
        </w:tc>
      </w:tr>
      <w:tr>
        <w:trPr>
          <w:trHeight w:val="990"/>
        </w:trPr>
        <w:tc>
          <w:tcPr>
            <w:tcW w:w="6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44" w:name="page45"/>
    <w:bookmarkEnd w:id="44"/>
    <w:p>
      <w:pPr>
        <w:ind w:right="300"/>
        <w:spacing w:after="0" w:line="278" w:lineRule="auto"/>
        <w:rPr>
          <w:sz w:val="20"/>
          <w:szCs w:val="20"/>
          <w:color w:val="auto"/>
        </w:rPr>
      </w:pPr>
      <w:r>
        <w:rPr>
          <w:rFonts w:ascii="Times New Roman" w:cs="Times New Roman" w:eastAsia="Times New Roman" w:hAnsi="Times New Roman"/>
          <w:sz w:val="15"/>
          <w:szCs w:val="15"/>
          <w:color w:val="auto"/>
        </w:rPr>
        <w:t>These assumptions are determined by our independent valuation advisor and reviewed by the Adviser. A change in these assumptions would impact the calculation of the values of our property investments. For example, assuming all other factors remain unchanged, the changes listed below would result in the following effects on our investment values: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Hypothetical</w:t>
            </w:r>
          </w:p>
        </w:tc>
        <w:tc>
          <w:tcPr>
            <w:tcW w:w="180" w:type="dxa"/>
            <w:vAlign w:val="bottom"/>
          </w:tcPr>
          <w:p>
            <w:pPr>
              <w:spacing w:after="0"/>
              <w:rPr>
                <w:sz w:val="15"/>
                <w:szCs w:val="15"/>
                <w:color w:val="auto"/>
              </w:rPr>
            </w:pPr>
          </w:p>
        </w:tc>
        <w:tc>
          <w:tcPr>
            <w:tcW w:w="1320" w:type="dxa"/>
            <w:vAlign w:val="bottom"/>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Multifamily</w:t>
            </w:r>
          </w:p>
        </w:tc>
        <w:tc>
          <w:tcPr>
            <w:tcW w:w="18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Industrial</w:t>
            </w:r>
          </w:p>
        </w:tc>
        <w:tc>
          <w:tcPr>
            <w:tcW w:w="180" w:type="dxa"/>
            <w:vAlign w:val="bottom"/>
          </w:tcPr>
          <w:p>
            <w:pPr>
              <w:spacing w:after="0"/>
              <w:rPr>
                <w:sz w:val="15"/>
                <w:szCs w:val="15"/>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Retail Investment</w:t>
            </w:r>
          </w:p>
        </w:tc>
      </w:tr>
      <w:tr>
        <w:trPr>
          <w:trHeight w:val="198"/>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Input</w:t>
            </w: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Investment Values</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Investment Values</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Values</w:t>
            </w:r>
          </w:p>
        </w:tc>
      </w:tr>
      <w:tr>
        <w:trPr>
          <w:trHeight w:val="171"/>
        </w:trPr>
        <w:tc>
          <w:tcPr>
            <w:tcW w:w="52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Discount Rate</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line="172" w:lineRule="exact"/>
              <w:rPr>
                <w:sz w:val="20"/>
                <w:szCs w:val="20"/>
                <w:color w:val="auto"/>
              </w:rPr>
            </w:pPr>
            <w:r>
              <w:rPr>
                <w:rFonts w:ascii="Times New Roman" w:cs="Times New Roman" w:eastAsia="Times New Roman" w:hAnsi="Times New Roman"/>
                <w:sz w:val="15"/>
                <w:szCs w:val="15"/>
                <w:color w:val="auto"/>
                <w:w w:val="99"/>
              </w:rPr>
              <w:t>0.25% decrease</w:t>
            </w:r>
          </w:p>
        </w:tc>
        <w:tc>
          <w:tcPr>
            <w:tcW w:w="1500" w:type="dxa"/>
            <w:vAlign w:val="bottom"/>
            <w:gridSpan w:val="2"/>
            <w:shd w:val="clear" w:color="auto" w:fill="CFF0FC"/>
          </w:tcPr>
          <w:p>
            <w:pPr>
              <w:jc w:val="right"/>
              <w:ind w:right="405"/>
              <w:spacing w:after="0" w:line="172" w:lineRule="exact"/>
              <w:rPr>
                <w:sz w:val="20"/>
                <w:szCs w:val="20"/>
                <w:color w:val="auto"/>
              </w:rPr>
            </w:pPr>
            <w:r>
              <w:rPr>
                <w:rFonts w:ascii="Times New Roman" w:cs="Times New Roman" w:eastAsia="Times New Roman" w:hAnsi="Times New Roman"/>
                <w:sz w:val="15"/>
                <w:szCs w:val="15"/>
                <w:color w:val="auto"/>
              </w:rPr>
              <w:t>1.95%</w:t>
            </w:r>
          </w:p>
        </w:tc>
        <w:tc>
          <w:tcPr>
            <w:tcW w:w="1520" w:type="dxa"/>
            <w:vAlign w:val="bottom"/>
            <w:gridSpan w:val="2"/>
            <w:shd w:val="clear" w:color="auto" w:fill="CFF0FC"/>
          </w:tcPr>
          <w:p>
            <w:pPr>
              <w:jc w:val="right"/>
              <w:ind w:right="405"/>
              <w:spacing w:after="0" w:line="172" w:lineRule="exact"/>
              <w:rPr>
                <w:sz w:val="20"/>
                <w:szCs w:val="20"/>
                <w:color w:val="auto"/>
              </w:rPr>
            </w:pPr>
            <w:r>
              <w:rPr>
                <w:rFonts w:ascii="Times New Roman" w:cs="Times New Roman" w:eastAsia="Times New Roman" w:hAnsi="Times New Roman"/>
                <w:sz w:val="15"/>
                <w:szCs w:val="15"/>
                <w:color w:val="auto"/>
              </w:rPr>
              <w:t>1.94%</w:t>
            </w:r>
          </w:p>
        </w:tc>
        <w:tc>
          <w:tcPr>
            <w:tcW w:w="1520" w:type="dxa"/>
            <w:vAlign w:val="bottom"/>
            <w:gridSpan w:val="2"/>
            <w:shd w:val="clear" w:color="auto" w:fill="CFF0FC"/>
          </w:tcPr>
          <w:p>
            <w:pPr>
              <w:jc w:val="right"/>
              <w:ind w:right="405"/>
              <w:spacing w:after="0" w:line="172" w:lineRule="exact"/>
              <w:rPr>
                <w:sz w:val="20"/>
                <w:szCs w:val="20"/>
                <w:color w:val="auto"/>
              </w:rPr>
            </w:pPr>
            <w:r>
              <w:rPr>
                <w:rFonts w:ascii="Times New Roman" w:cs="Times New Roman" w:eastAsia="Times New Roman" w:hAnsi="Times New Roman"/>
                <w:sz w:val="15"/>
                <w:szCs w:val="15"/>
                <w:color w:val="auto"/>
              </w:rPr>
              <w:t>1.84%</w:t>
            </w:r>
          </w:p>
        </w:tc>
      </w:tr>
      <w:tr>
        <w:trPr>
          <w:trHeight w:val="180"/>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w:t>
            </w: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0.25% increase</w:t>
            </w:r>
          </w:p>
        </w:tc>
        <w:tc>
          <w:tcPr>
            <w:tcW w:w="1500" w:type="dxa"/>
            <w:vAlign w:val="bottom"/>
            <w:gridSpan w:val="2"/>
          </w:tcPr>
          <w:p>
            <w:pPr>
              <w:jc w:val="right"/>
              <w:ind w:right="345"/>
              <w:spacing w:after="0"/>
              <w:rPr>
                <w:sz w:val="20"/>
                <w:szCs w:val="20"/>
                <w:color w:val="auto"/>
              </w:rPr>
            </w:pPr>
            <w:r>
              <w:rPr>
                <w:rFonts w:ascii="Times New Roman" w:cs="Times New Roman" w:eastAsia="Times New Roman" w:hAnsi="Times New Roman"/>
                <w:sz w:val="15"/>
                <w:szCs w:val="15"/>
                <w:color w:val="auto"/>
              </w:rPr>
              <w:t>(1.87)%</w:t>
            </w:r>
          </w:p>
        </w:tc>
        <w:tc>
          <w:tcPr>
            <w:tcW w:w="1520" w:type="dxa"/>
            <w:vAlign w:val="bottom"/>
            <w:gridSpan w:val="2"/>
          </w:tcPr>
          <w:p>
            <w:pPr>
              <w:jc w:val="right"/>
              <w:ind w:right="345"/>
              <w:spacing w:after="0"/>
              <w:rPr>
                <w:sz w:val="20"/>
                <w:szCs w:val="20"/>
                <w:color w:val="auto"/>
              </w:rPr>
            </w:pPr>
            <w:r>
              <w:rPr>
                <w:rFonts w:ascii="Times New Roman" w:cs="Times New Roman" w:eastAsia="Times New Roman" w:hAnsi="Times New Roman"/>
                <w:sz w:val="15"/>
                <w:szCs w:val="15"/>
                <w:color w:val="auto"/>
              </w:rPr>
              <w:t>(1.83)%</w:t>
            </w:r>
          </w:p>
        </w:tc>
        <w:tc>
          <w:tcPr>
            <w:tcW w:w="1520" w:type="dxa"/>
            <w:vAlign w:val="bottom"/>
            <w:gridSpan w:val="2"/>
          </w:tcPr>
          <w:p>
            <w:pPr>
              <w:jc w:val="right"/>
              <w:ind w:right="365"/>
              <w:spacing w:after="0"/>
              <w:rPr>
                <w:sz w:val="20"/>
                <w:szCs w:val="20"/>
                <w:color w:val="auto"/>
              </w:rPr>
            </w:pPr>
            <w:r>
              <w:rPr>
                <w:rFonts w:ascii="Times New Roman" w:cs="Times New Roman" w:eastAsia="Times New Roman" w:hAnsi="Times New Roman"/>
                <w:sz w:val="15"/>
                <w:szCs w:val="15"/>
                <w:color w:val="auto"/>
              </w:rPr>
              <w:t>(1.84)%</w:t>
            </w:r>
          </w:p>
        </w:tc>
      </w:tr>
      <w:tr>
        <w:trPr>
          <w:trHeight w:val="18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Exit Capitalization Rate</w:t>
            </w:r>
          </w:p>
        </w:tc>
        <w:tc>
          <w:tcPr>
            <w:tcW w:w="18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99"/>
              </w:rPr>
              <w:t>0.25% decrease</w:t>
            </w:r>
          </w:p>
        </w:tc>
        <w:tc>
          <w:tcPr>
            <w:tcW w:w="1500" w:type="dxa"/>
            <w:vAlign w:val="bottom"/>
            <w:gridSpan w:val="2"/>
            <w:shd w:val="clear" w:color="auto" w:fill="CFF0FC"/>
          </w:tcPr>
          <w:p>
            <w:pPr>
              <w:jc w:val="right"/>
              <w:ind w:right="405"/>
              <w:spacing w:after="0"/>
              <w:rPr>
                <w:sz w:val="20"/>
                <w:szCs w:val="20"/>
                <w:color w:val="auto"/>
              </w:rPr>
            </w:pPr>
            <w:r>
              <w:rPr>
                <w:rFonts w:ascii="Times New Roman" w:cs="Times New Roman" w:eastAsia="Times New Roman" w:hAnsi="Times New Roman"/>
                <w:sz w:val="15"/>
                <w:szCs w:val="15"/>
                <w:color w:val="auto"/>
              </w:rPr>
              <w:t>2.68%</w:t>
            </w:r>
          </w:p>
        </w:tc>
        <w:tc>
          <w:tcPr>
            <w:tcW w:w="1520" w:type="dxa"/>
            <w:vAlign w:val="bottom"/>
            <w:gridSpan w:val="2"/>
            <w:shd w:val="clear" w:color="auto" w:fill="CFF0FC"/>
          </w:tcPr>
          <w:p>
            <w:pPr>
              <w:jc w:val="right"/>
              <w:ind w:right="405"/>
              <w:spacing w:after="0"/>
              <w:rPr>
                <w:sz w:val="20"/>
                <w:szCs w:val="20"/>
                <w:color w:val="auto"/>
              </w:rPr>
            </w:pPr>
            <w:r>
              <w:rPr>
                <w:rFonts w:ascii="Times New Roman" w:cs="Times New Roman" w:eastAsia="Times New Roman" w:hAnsi="Times New Roman"/>
                <w:sz w:val="15"/>
                <w:szCs w:val="15"/>
                <w:color w:val="auto"/>
              </w:rPr>
              <w:t>2.51%</w:t>
            </w:r>
          </w:p>
        </w:tc>
        <w:tc>
          <w:tcPr>
            <w:tcW w:w="1520" w:type="dxa"/>
            <w:vAlign w:val="bottom"/>
            <w:gridSpan w:val="2"/>
            <w:shd w:val="clear" w:color="auto" w:fill="CFF0FC"/>
          </w:tcPr>
          <w:p>
            <w:pPr>
              <w:jc w:val="right"/>
              <w:ind w:right="405"/>
              <w:spacing w:after="0"/>
              <w:rPr>
                <w:sz w:val="20"/>
                <w:szCs w:val="20"/>
                <w:color w:val="auto"/>
              </w:rPr>
            </w:pPr>
            <w:r>
              <w:rPr>
                <w:rFonts w:ascii="Times New Roman" w:cs="Times New Roman" w:eastAsia="Times New Roman" w:hAnsi="Times New Roman"/>
                <w:sz w:val="15"/>
                <w:szCs w:val="15"/>
                <w:color w:val="auto"/>
              </w:rPr>
              <w:t>2.30%</w:t>
            </w:r>
          </w:p>
        </w:tc>
      </w:tr>
      <w:tr>
        <w:trPr>
          <w:trHeight w:val="193"/>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w:t>
            </w:r>
          </w:p>
        </w:tc>
        <w:tc>
          <w:tcPr>
            <w:tcW w:w="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0.25% increase</w:t>
            </w:r>
          </w:p>
        </w:tc>
        <w:tc>
          <w:tcPr>
            <w:tcW w:w="1500" w:type="dxa"/>
            <w:vAlign w:val="bottom"/>
            <w:gridSpan w:val="2"/>
          </w:tcPr>
          <w:p>
            <w:pPr>
              <w:jc w:val="right"/>
              <w:ind w:right="345"/>
              <w:spacing w:after="0"/>
              <w:rPr>
                <w:sz w:val="20"/>
                <w:szCs w:val="20"/>
                <w:color w:val="auto"/>
              </w:rPr>
            </w:pPr>
            <w:r>
              <w:rPr>
                <w:rFonts w:ascii="Times New Roman" w:cs="Times New Roman" w:eastAsia="Times New Roman" w:hAnsi="Times New Roman"/>
                <w:sz w:val="15"/>
                <w:szCs w:val="15"/>
                <w:color w:val="auto"/>
              </w:rPr>
              <w:t>(2.51)%</w:t>
            </w:r>
          </w:p>
        </w:tc>
        <w:tc>
          <w:tcPr>
            <w:tcW w:w="1520" w:type="dxa"/>
            <w:vAlign w:val="bottom"/>
            <w:gridSpan w:val="2"/>
          </w:tcPr>
          <w:p>
            <w:pPr>
              <w:jc w:val="right"/>
              <w:ind w:right="345"/>
              <w:spacing w:after="0"/>
              <w:rPr>
                <w:sz w:val="20"/>
                <w:szCs w:val="20"/>
                <w:color w:val="auto"/>
              </w:rPr>
            </w:pPr>
            <w:r>
              <w:rPr>
                <w:rFonts w:ascii="Times New Roman" w:cs="Times New Roman" w:eastAsia="Times New Roman" w:hAnsi="Times New Roman"/>
                <w:sz w:val="15"/>
                <w:szCs w:val="15"/>
                <w:color w:val="auto"/>
              </w:rPr>
              <w:t>(2.19)%</w:t>
            </w:r>
          </w:p>
        </w:tc>
        <w:tc>
          <w:tcPr>
            <w:tcW w:w="1520" w:type="dxa"/>
            <w:vAlign w:val="bottom"/>
            <w:gridSpan w:val="2"/>
          </w:tcPr>
          <w:p>
            <w:pPr>
              <w:jc w:val="right"/>
              <w:ind w:right="365"/>
              <w:spacing w:after="0"/>
              <w:rPr>
                <w:sz w:val="20"/>
                <w:szCs w:val="20"/>
                <w:color w:val="auto"/>
              </w:rPr>
            </w:pPr>
            <w:r>
              <w:rPr>
                <w:rFonts w:ascii="Times New Roman" w:cs="Times New Roman" w:eastAsia="Times New Roman" w:hAnsi="Times New Roman"/>
                <w:sz w:val="15"/>
                <w:szCs w:val="15"/>
                <w:color w:val="auto"/>
              </w:rPr>
              <w:t>(2.03)%</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reconciles stockholders’ equity per our Condensed Consolidated Balance Sheets to our NAV as of March 31, 2026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Reconciliation of Stockholders’ Equity to NAV</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March 31, 2026</w:t>
            </w:r>
          </w:p>
        </w:tc>
      </w:tr>
      <w:tr>
        <w:trPr>
          <w:trHeight w:val="171"/>
        </w:trPr>
        <w:tc>
          <w:tcPr>
            <w:tcW w:w="90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5"/>
                <w:szCs w:val="15"/>
                <w:color w:val="auto"/>
              </w:rPr>
              <w:t>Stockholders’ equity under GAAP</w:t>
            </w:r>
          </w:p>
        </w:tc>
        <w:tc>
          <w:tcPr>
            <w:tcW w:w="480" w:type="dxa"/>
            <w:vAlign w:val="bottom"/>
            <w:gridSpan w:val="2"/>
            <w:shd w:val="clear" w:color="auto" w:fill="CFF0FC"/>
          </w:tcPr>
          <w:p>
            <w:pPr>
              <w:jc w:val="right"/>
              <w:ind w:right="180"/>
              <w:spacing w:after="0" w:line="172"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shd w:val="clear" w:color="auto" w:fill="CFF0FC"/>
          </w:tcPr>
          <w:p>
            <w:pPr>
              <w:jc w:val="right"/>
              <w:ind w:right="65"/>
              <w:spacing w:after="0" w:line="172" w:lineRule="exact"/>
              <w:rPr>
                <w:sz w:val="20"/>
                <w:szCs w:val="20"/>
                <w:color w:val="auto"/>
              </w:rPr>
            </w:pPr>
            <w:r>
              <w:rPr>
                <w:rFonts w:ascii="Times New Roman" w:cs="Times New Roman" w:eastAsia="Times New Roman" w:hAnsi="Times New Roman"/>
                <w:sz w:val="15"/>
                <w:szCs w:val="15"/>
                <w:color w:val="auto"/>
              </w:rPr>
              <w:t>803,312</w:t>
            </w:r>
          </w:p>
        </w:tc>
      </w:tr>
      <w:tr>
        <w:trPr>
          <w:trHeight w:val="180"/>
        </w:trPr>
        <w:tc>
          <w:tcPr>
            <w:tcW w:w="9020" w:type="dxa"/>
            <w:vAlign w:val="bottom"/>
          </w:tcPr>
          <w:p>
            <w:pPr>
              <w:spacing w:after="0"/>
              <w:rPr>
                <w:sz w:val="20"/>
                <w:szCs w:val="20"/>
                <w:color w:val="auto"/>
              </w:rPr>
            </w:pPr>
            <w:r>
              <w:rPr>
                <w:rFonts w:ascii="Times New Roman" w:cs="Times New Roman" w:eastAsia="Times New Roman" w:hAnsi="Times New Roman"/>
                <w:sz w:val="15"/>
                <w:szCs w:val="15"/>
                <w:color w:val="auto"/>
              </w:rPr>
              <w:t>Redeemable non-controlling interest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257</w:t>
            </w:r>
          </w:p>
        </w:tc>
      </w:tr>
      <w:tr>
        <w:trPr>
          <w:trHeight w:val="171"/>
        </w:trPr>
        <w:tc>
          <w:tcPr>
            <w:tcW w:w="90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Total stockholders’ equity and Operating Partnership units</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803,569</w:t>
            </w:r>
          </w:p>
        </w:tc>
      </w:tr>
      <w:tr>
        <w:trPr>
          <w:trHeight w:val="180"/>
        </w:trPr>
        <w:tc>
          <w:tcPr>
            <w:tcW w:w="9020" w:type="dxa"/>
            <w:vAlign w:val="bottom"/>
          </w:tcPr>
          <w:p>
            <w:pPr>
              <w:spacing w:after="0"/>
              <w:rPr>
                <w:sz w:val="20"/>
                <w:szCs w:val="20"/>
                <w:color w:val="auto"/>
              </w:rPr>
            </w:pPr>
            <w:r>
              <w:rPr>
                <w:rFonts w:ascii="Times New Roman" w:cs="Times New Roman" w:eastAsia="Times New Roman" w:hAnsi="Times New Roman"/>
                <w:sz w:val="15"/>
                <w:szCs w:val="15"/>
                <w:color w:val="auto"/>
              </w:rPr>
              <w:t>Adjustments: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90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Organization, offering costs and operating expenses</w:t>
            </w:r>
            <w:r>
              <w:rPr>
                <w:rFonts w:ascii="Times New Roman" w:cs="Times New Roman" w:eastAsia="Times New Roman" w:hAnsi="Times New Roman"/>
                <w:sz w:val="20"/>
                <w:szCs w:val="20"/>
                <w:color w:val="auto"/>
                <w:vertAlign w:val="superscript"/>
              </w:rPr>
              <w:t>(1)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9,118</w:t>
            </w:r>
          </w:p>
        </w:tc>
      </w:tr>
      <w:tr>
        <w:trPr>
          <w:trHeight w:val="180"/>
        </w:trPr>
        <w:tc>
          <w:tcPr>
            <w:tcW w:w="90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Accrued stockholder servicing fees</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7,055</w:t>
            </w:r>
          </w:p>
        </w:tc>
      </w:tr>
      <w:tr>
        <w:trPr>
          <w:trHeight w:val="180"/>
        </w:trPr>
        <w:tc>
          <w:tcPr>
            <w:tcW w:w="90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Unrealized real estate and borrowings appreciation, net</w:t>
            </w:r>
            <w:r>
              <w:rPr>
                <w:rFonts w:ascii="Times New Roman" w:cs="Times New Roman" w:eastAsia="Times New Roman" w:hAnsi="Times New Roman"/>
                <w:sz w:val="20"/>
                <w:szCs w:val="20"/>
                <w:color w:val="auto"/>
                <w:vertAlign w:val="superscript"/>
              </w:rPr>
              <w:t>(3)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54,532</w:t>
            </w:r>
          </w:p>
        </w:tc>
      </w:tr>
      <w:tr>
        <w:trPr>
          <w:trHeight w:val="180"/>
        </w:trPr>
        <w:tc>
          <w:tcPr>
            <w:tcW w:w="9020" w:type="dxa"/>
            <w:vAlign w:val="bottom"/>
          </w:tcPr>
          <w:p>
            <w:pPr>
              <w:ind w:left="180"/>
              <w:spacing w:after="0" w:line="180" w:lineRule="exact"/>
              <w:rPr>
                <w:sz w:val="20"/>
                <w:szCs w:val="20"/>
                <w:color w:val="auto"/>
              </w:rPr>
            </w:pPr>
            <w:r>
              <w:rPr>
                <w:rFonts w:ascii="Times New Roman" w:cs="Times New Roman" w:eastAsia="Times New Roman" w:hAnsi="Times New Roman"/>
                <w:sz w:val="15"/>
                <w:szCs w:val="15"/>
                <w:color w:val="auto"/>
              </w:rPr>
              <w:t>Accumulated depreciation and amortization</w:t>
            </w:r>
            <w:r>
              <w:rPr>
                <w:rFonts w:ascii="Times New Roman" w:cs="Times New Roman" w:eastAsia="Times New Roman" w:hAnsi="Times New Roman"/>
                <w:sz w:val="20"/>
                <w:szCs w:val="20"/>
                <w:color w:val="auto"/>
                <w:vertAlign w:val="superscript"/>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76,959</w:t>
            </w:r>
          </w:p>
        </w:tc>
      </w:tr>
      <w:tr>
        <w:trPr>
          <w:trHeight w:val="180"/>
        </w:trPr>
        <w:tc>
          <w:tcPr>
            <w:tcW w:w="9020" w:type="dxa"/>
            <w:vAlign w:val="bottom"/>
            <w:tcBorders>
              <w:bottom w:val="single" w:sz="8" w:color="CFF0FC"/>
            </w:tcBorders>
            <w:shd w:val="clear" w:color="auto" w:fill="CFF0FC"/>
          </w:tcPr>
          <w:p>
            <w:pPr>
              <w:ind w:left="180"/>
              <w:spacing w:after="0" w:line="180" w:lineRule="exact"/>
              <w:rPr>
                <w:sz w:val="20"/>
                <w:szCs w:val="20"/>
                <w:color w:val="auto"/>
              </w:rPr>
            </w:pPr>
            <w:r>
              <w:rPr>
                <w:rFonts w:ascii="Times New Roman" w:cs="Times New Roman" w:eastAsia="Times New Roman" w:hAnsi="Times New Roman"/>
                <w:sz w:val="15"/>
                <w:szCs w:val="15"/>
                <w:color w:val="auto"/>
              </w:rPr>
              <w:t>Straight-line rent receivable</w:t>
            </w:r>
            <w:r>
              <w:rPr>
                <w:rFonts w:ascii="Times New Roman" w:cs="Times New Roman" w:eastAsia="Times New Roman" w:hAnsi="Times New Roman"/>
                <w:sz w:val="20"/>
                <w:szCs w:val="20"/>
                <w:color w:val="auto"/>
                <w:vertAlign w:val="superscript"/>
              </w:rPr>
              <w:t>(5)</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(4,457)</w:t>
            </w:r>
          </w:p>
        </w:tc>
      </w:tr>
      <w:tr>
        <w:trPr>
          <w:trHeight w:val="171"/>
        </w:trPr>
        <w:tc>
          <w:tcPr>
            <w:tcW w:w="90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NAV</w:t>
            </w:r>
          </w:p>
        </w:tc>
        <w:tc>
          <w:tcPr>
            <w:tcW w:w="480" w:type="dxa"/>
            <w:vAlign w:val="bottom"/>
            <w:gridSpan w:val="2"/>
          </w:tcPr>
          <w:p>
            <w:pPr>
              <w:jc w:val="right"/>
              <w:ind w:right="180"/>
              <w:spacing w:after="0" w:line="171" w:lineRule="exact"/>
              <w:rPr>
                <w:sz w:val="20"/>
                <w:szCs w:val="20"/>
                <w:color w:val="auto"/>
              </w:rPr>
            </w:pPr>
            <w:r>
              <w:rPr>
                <w:rFonts w:ascii="Times New Roman" w:cs="Times New Roman" w:eastAsia="Times New Roman" w:hAnsi="Times New Roman"/>
                <w:sz w:val="15"/>
                <w:szCs w:val="15"/>
                <w:color w:val="auto"/>
              </w:rPr>
              <w:t>$</w:t>
            </w:r>
          </w:p>
        </w:tc>
        <w:tc>
          <w:tcPr>
            <w:tcW w:w="1780" w:type="dxa"/>
            <w:vAlign w:val="bottom"/>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946,776</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20" w:hanging="110"/>
        <w:spacing w:after="0" w:line="258" w:lineRule="auto"/>
        <w:tabs>
          <w:tab w:leader="none" w:pos="157"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Adviser advanced our organization and offering expenses on our behalf (other than upfront selling commissions and stockholder servicing fees) through July 22, 2024. On such date, we began reimbursing the Adviser for all such advanced costs ratably over a period that will continue until 60 months following such date. During the three months ended March 31, 2026, we reimbursed $0.4 million to the Adviser. In addition, the Adviser has agreed to advance on our behalf certain of our operating expenses through the earlier of (i) the first date that our NAV reaches $1 billion and (ii) December 31, 2026 at which point we will reimburse the Adviser for all such advanced expenses ratably over the 60 months following such date. Under GAAP, organization costs are expensed as incurred and offering costs are charged to equity as such amounts are incurred. For the purposes of calculating NAV, such costs will be recognized as a reduction to NAV as they are reimbursed ratably over the respective 60-month reimbursement periods.</w:t>
      </w:r>
    </w:p>
    <w:p>
      <w:pPr>
        <w:spacing w:after="0" w:line="3" w:lineRule="exact"/>
        <w:rPr>
          <w:rFonts w:ascii="Times New Roman" w:cs="Times New Roman" w:eastAsia="Times New Roman" w:hAnsi="Times New Roman"/>
          <w:sz w:val="18"/>
          <w:szCs w:val="18"/>
          <w:color w:val="auto"/>
          <w:vertAlign w:val="superscript"/>
        </w:rPr>
      </w:pPr>
    </w:p>
    <w:p>
      <w:pPr>
        <w:ind w:left="120" w:right="80" w:hanging="110"/>
        <w:spacing w:after="0" w:line="253" w:lineRule="auto"/>
        <w:tabs>
          <w:tab w:leader="none" w:pos="157"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Stockholder servicing fees only apply to Class D, Class S, Class T and Class Y shares. For purposes of NAV, we recognize the stockholder servicing fee as a reduction to our NAV on a monthly basis as such fee is paid. Under GAAP, we accrue the lifetime cost of the stockholder servicing fee as an offering cost at the time we sell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w:t>
      </w:r>
    </w:p>
    <w:p>
      <w:pPr>
        <w:spacing w:after="0" w:line="2" w:lineRule="exact"/>
        <w:rPr>
          <w:rFonts w:ascii="Times New Roman" w:cs="Times New Roman" w:eastAsia="Times New Roman" w:hAnsi="Times New Roman"/>
          <w:sz w:val="18"/>
          <w:szCs w:val="18"/>
          <w:color w:val="auto"/>
          <w:vertAlign w:val="superscript"/>
        </w:rPr>
      </w:pPr>
    </w:p>
    <w:p>
      <w:pPr>
        <w:ind w:left="120" w:right="40" w:hanging="110"/>
        <w:spacing w:after="0" w:line="331" w:lineRule="auto"/>
        <w:tabs>
          <w:tab w:leader="none" w:pos="157"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investments in real estate are presented at historical cost in our GAAP condensed consolidated financial statements. Additionally, our mortgage notes, Repurchase Facility and the Credit Facility (“Borrowings”) are presented at their carrying values in our condensed consolidated financial statements. As such, any changes in the fair market values of our investments in real estate or our Borrowings are not included in our GAAP results. For purposes of determining our NAV, our investments in real estate and our Borrowings are recorded at fair value.</w:t>
      </w:r>
    </w:p>
    <w:p>
      <w:pPr>
        <w:ind w:left="120" w:right="120" w:hanging="110"/>
        <w:spacing w:after="0" w:line="241" w:lineRule="auto"/>
        <w:tabs>
          <w:tab w:leader="none" w:pos="157"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accordance with GAAP, we depreciate our investments in real estate and amortize certain other assets and liabilities. Such depreciation and amortization is not recorded for purposes of determining our NAV.</w:t>
      </w:r>
    </w:p>
    <w:p>
      <w:pPr>
        <w:ind w:left="160" w:hanging="150"/>
        <w:spacing w:after="0" w:line="209" w:lineRule="auto"/>
        <w:tabs>
          <w:tab w:leader="none" w:pos="1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record straight-line rent in accordance with GAAP. Any resulting straight-line rent receivable or liability is excluded for purposes of determining our NAV.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01"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4"/>
          <w:szCs w:val="14"/>
          <w:color w:val="auto"/>
        </w:rPr>
        <w:t>The preparation of the financial statements in accordance with GAAP involves significant judgments and assumptions and requires estimates about matters that are inherently uncertain. These judgments will affect our reported amounts of assets and liabilities and our disclosure of contingent assets and liabilities at the dates of the financial statements and the reported amounts of revenue and expenses during the reporting periods. With different estimates or assumptions, materially different amounts could be reported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537210</wp:posOffset>
            </wp:positionV>
            <wp:extent cx="7180580"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i w:val="1"/>
          <w:iCs w:val="1"/>
          <w:color w:val="auto"/>
        </w:rPr>
        <w:t>Purchase price allocation of acquired investments in real estate</w:t>
      </w:r>
    </w:p>
    <w:p>
      <w:pPr>
        <w:spacing w:after="0" w:line="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 xml:space="preserve">Upon the acquisition of a property, we assess the fair value of acquired tangible and intangible assets and liabilities (including land, buildings, tenant improvements, above-market and below-market leases, acquired in-place leases, other identified intangible assets and assumed liabilities) and allocate the purchase price to the acquired assets and assumed liabilities on a relative fair value basis in accordance with ASC 805,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All expenses related to asset acquisitions are capitalized and allocated among the identified assets. Generally, the most significant portion of the allocation is to the building and land and requires the use of market-based estimates and assumptions.</w:t>
      </w:r>
    </w:p>
    <w:p>
      <w:pPr>
        <w:spacing w:after="0" w:line="64"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5"/>
          <w:szCs w:val="15"/>
          <w:color w:val="auto"/>
        </w:rPr>
        <w:t>We assess and consider fair value based on estimated cash flow projections that utilize appropriate discount and/or capitalization rates, as well as other available market information. Estimates of future cash flows are based on a number of factors, including the historical operating results, known and anticipated trends, and market and economic conditions. The fair value of the tangible assets of an acquired property considers the value of the property as if it were vacant.</w:t>
      </w:r>
    </w:p>
    <w:p>
      <w:pPr>
        <w:spacing w:after="0" w:line="5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5"/>
          <w:szCs w:val="15"/>
          <w:color w:val="auto"/>
        </w:rPr>
        <w:t>Acquired above-market and below-market leases are recorded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fixed-rate renewal options for below-market leases. Other intangible assets acquired include amounts for in place lease values that are based on our evaluation of the specific characteristics of each tenant’s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 A change in any of the assumptions above, which are subjective, could have a material impact on our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allocation of the purchase price directly affects the following in our condensed consolidated financial statements:</w:t>
      </w:r>
    </w:p>
    <w:p>
      <w:pPr>
        <w:spacing w:after="0" w:line="97" w:lineRule="exact"/>
        <w:rPr>
          <w:sz w:val="20"/>
          <w:szCs w:val="20"/>
          <w:color w:val="auto"/>
        </w:rPr>
      </w:pPr>
    </w:p>
    <w:p>
      <w:pPr>
        <w:ind w:left="1040" w:hanging="520"/>
        <w:spacing w:after="0"/>
        <w:tabs>
          <w:tab w:leader="none" w:pos="1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purchase price allocated to the various tangible and intangible assets and liabilities on our Condensed Consolidated Balance Sheets;</w:t>
      </w:r>
    </w:p>
    <w:p>
      <w:pPr>
        <w:spacing w:after="0" w:line="96" w:lineRule="exact"/>
        <w:rPr>
          <w:rFonts w:ascii="Times New Roman" w:cs="Times New Roman" w:eastAsia="Times New Roman" w:hAnsi="Times New Roman"/>
          <w:sz w:val="15"/>
          <w:szCs w:val="15"/>
          <w:color w:val="auto"/>
        </w:rPr>
      </w:pPr>
    </w:p>
    <w:p>
      <w:pPr>
        <w:ind w:left="1040" w:right="260" w:hanging="520"/>
        <w:spacing w:after="0" w:line="264" w:lineRule="auto"/>
        <w:tabs>
          <w:tab w:leader="none" w:pos="1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allocated to above-market and below-market leases are amortized to rental income over the remaining non-cancelable terms of the respective leases. The amounts allocated to all other tangible and intangible assets are amortized to depreciation or amortization expense. Thus, depending on the amounts allocated between land and depreciable assets, changes in the purchase price allocation among our assets could have a material impact on our net income; and</w:t>
      </w:r>
    </w:p>
    <w:p>
      <w:pPr>
        <w:spacing w:after="0" w:line="59" w:lineRule="exact"/>
        <w:rPr>
          <w:rFonts w:ascii="Times New Roman" w:cs="Times New Roman" w:eastAsia="Times New Roman" w:hAnsi="Times New Roman"/>
          <w:sz w:val="15"/>
          <w:szCs w:val="15"/>
          <w:color w:val="auto"/>
        </w:rPr>
      </w:pPr>
    </w:p>
    <w:p>
      <w:pPr>
        <w:ind w:left="1040" w:right="60" w:hanging="520"/>
        <w:spacing w:after="0" w:line="264" w:lineRule="auto"/>
        <w:tabs>
          <w:tab w:leader="none" w:pos="1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of time over which tangible and intangible assets are depreciated varies greatly, and thus, changes in the amounts allocated to these assets will have a direct impact on our results of operations. Intangible assets are generally amortized over the respective lives of the leases. Also, we depreciate our buildings over a maximum of 40 years, but do not depreciate our land. These differences in timing could have a material impact on our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Impairment of long-lived assets</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We review real estate properties (including any related amortizable intangible assets or liabilities) for impairment each quarter or when there is an indicator, including, but not limited to, property operating performance, changes in anticipated holding period and general market conditions, that the value of the real estate properties may be impaired. Our estimate of the expected future cash flows in testing for impairment is subjective and based on, among other things, our estimates regarding future market conditions, rental rates, occupancy levels, costs of tenant improvements, assumptions regarding the residual value of our properties at the end of our anticipated holding period, discount rates, exit capitalization rates and the length of our anticipated holding period. In preparing the projection of undiscounted future cash flows, we estimate exit capitalization rates and market rental rates using information that we obtain from market comparability studies and other comparable sources and apply the undiscounted cash flows against our expected holding period. These assumptions could differ materially from actual results. If changes in our strategy or the market conditions result in a reduction in the holding period and an earlier sale date, an impairment loss could be recognized and such loss could be material. If impairment was indicated, the carrying value of the property would be written down to its estimated fair value based on our best estimate of the property's discounted future cash flows using market derived capitalization rates, discount rates and market rental rates applied against our expected hold period.</w:t>
      </w:r>
    </w:p>
    <w:p>
      <w:pPr>
        <w:spacing w:after="0" w:line="6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auto"/>
        </w:rPr>
        <w:t>We evaluated our portfolio, as of March 31, 2026 and December 31, 2025, for impairment indicators. We did not record any impairment losses for the three months ended March 31, 2026 or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718058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00" w:top="84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i w:val="1"/>
          <w:iCs w:val="1"/>
          <w:color w:val="auto"/>
        </w:rPr>
        <w:t>Mandatorily Redeemable Instruments</w:t>
      </w:r>
    </w:p>
    <w:p>
      <w:pPr>
        <w:spacing w:after="0" w:line="9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5"/>
          <w:szCs w:val="15"/>
          <w:color w:val="auto"/>
        </w:rPr>
        <w:t>We report our Mandatorily Redeemable Instruments as a liability on our Condensed Consolidated Balance Sheets at JPMIM’s cash redemption value. JPMIM’s cash redemption value is determined based on our NAV per Class E unit as of our balance sheet date. For purposes of determining our NAV, our investments in real estate are recorded at fair value based on independent third-party valuations prepared by licensed appraisers in accordance with standard industry practice or in the case of real estate-related and other securities using readily available actively quoted prices.</w:t>
      </w:r>
    </w:p>
    <w:p>
      <w:pPr>
        <w:spacing w:after="0" w:line="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These fair value estimates of our investments in real estate are particularly important as they are used for the calculation of NAV, which determines the adjustment to the carrying value of our Mandatorily Redeemable Instruments. Significant differences in the fair value of our Mandatorily Redeemable Instruments may result from changes in market conditions that cause our NAV, and thus JPMIM’s redemption value, to increase or decrease during the period which is recorded as a component of Mandatorily redeemable instruments interest costs on our Condensed Consolidated Statements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Investments in real estate debt</w:t>
      </w:r>
    </w:p>
    <w:p>
      <w:pPr>
        <w:spacing w:after="0" w:line="9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5"/>
          <w:szCs w:val="15"/>
          <w:color w:val="auto"/>
        </w:rPr>
        <w:t>Our investments in real estate debt consist of investments in commercial mortgage loans. Our investments in real estate debt are carried at fair value as we elected the fair value option. Investments with readily available, actively quoted prices or for which fair value can be measured from actively quoted prices generally will have a higher degree of market price observability and a lesser degree of judgment used in measuring fair value.</w:t>
      </w:r>
    </w:p>
    <w:p>
      <w:pPr>
        <w:spacing w:after="0" w:line="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Our real estate debt investments are unlikely to have readily available market quotations. As such, we determine fair value by utilizing or reviewing certain of the following (i) market yield data, (ii) discounted cash flow modeling, (iii) collateral asset performance, (iv) local or macro real estate performance, (v) capital market conditions, (vi) debt yield or loan-to-value ratios and (vii) borrower financial condition and performance. We classify these investments as Level 3 within the valuation hierarchy. Judgments used to determine the fair values of Level 3 instruments are more significant than those required when determining the fair value of instruments classified as Level 1 or 2 due to the inherent uncertainty of the estimates and judgments used. These values may differ materially from the values that would have been used had a ready market for these investments existed. External factors may cause those values and the values of those investments for which readily observable inputs exist, to increase or decrease over time, impacting the value of our investment which is recorded in income from investments in real estate debt on the Condensed Consolidated Statements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no off-balance sheet arrangements.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Interest rate risk</w:t>
      </w:r>
    </w:p>
    <w:p>
      <w:pPr>
        <w:spacing w:after="0" w:line="99"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5"/>
          <w:szCs w:val="15"/>
          <w:color w:val="auto"/>
        </w:rPr>
        <w:t>We are exposed to interest rate risk with respect to our variable-rate indebtedness, where an increase in interest rates would directly result in higher interest expense costs. We may seek to manage or mitigate our exposure to interest risk through interest rate protection agreements to fix or cap a portion of our variable rate debt. As of March 31, 2026, the outstanding principal balance of our variable rate indebtedness was $310.9 million.</w:t>
      </w:r>
    </w:p>
    <w:p>
      <w:pPr>
        <w:spacing w:after="0" w:line="5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5"/>
          <w:szCs w:val="15"/>
          <w:color w:val="auto"/>
        </w:rPr>
        <w:t>Certain of our mortgage loans and other indebtedness are variable rate and indexed to SOFR. For the three months ended March 31, 2026, a 10% increase in SOFR would have resulted in an increase in interest expense of $0.3 million. We have executed interest rate swaps with an aggregate notional amount of $120.1 million as of March 31, 2026, to hedge the risk of increasing interest rates.</w:t>
      </w:r>
    </w:p>
    <w:p>
      <w:pPr>
        <w:spacing w:after="0" w:line="5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We have invested a portion of our portfolio in floating-rate investments in real estate debt and intend to invest in both fixed- and floating-rate real estate debt investments in the future. For floating-rate investments in real estate debt, our net income will increase or decrease depending on interest rate movements. For the three months ended March 31, 2026, a 10% decrease in the reference rate would have resulted in a decrease in interest income of $0.2 million. Additionally, interest rate movement can impact the valuation of real estate debt depending on various aspects of the instrument, including the credit rating, duration and structure of the interest rate payments.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Credit risk</w:t>
      </w:r>
    </w:p>
    <w:p>
      <w:pPr>
        <w:spacing w:after="0" w:line="9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5"/>
          <w:szCs w:val="15"/>
          <w:color w:val="auto"/>
        </w:rPr>
        <w:t>We are exposed to credit risk with respect to the tenants that occupy properties we own. To mitigate this risk, we undertake a credit evaluation of major tenants prior to making an investment. This analysis includes extensive due diligence of a potential tenant’s creditworthiness and business, as well as an assessment of the strategic importance of the property to the tenant’s core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718058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7" w:name="page48"/>
    <w:bookmarkEnd w:id="47"/>
    <w:p>
      <w:pPr>
        <w:ind w:right="60"/>
        <w:spacing w:after="0" w:line="259" w:lineRule="auto"/>
        <w:rPr>
          <w:sz w:val="20"/>
          <w:szCs w:val="20"/>
          <w:color w:val="auto"/>
        </w:rPr>
      </w:pPr>
      <w:r>
        <w:rPr>
          <w:rFonts w:ascii="Times New Roman" w:cs="Times New Roman" w:eastAsia="Times New Roman" w:hAnsi="Times New Roman"/>
          <w:sz w:val="15"/>
          <w:szCs w:val="15"/>
          <w:color w:val="auto"/>
        </w:rPr>
        <w:t>Additionally, we are exposed to credit risk in the real estate-related debt investments that we make with respect to a borrower’s ability to make required interest and principal payments on scheduled due dates. We manage this risk by conducting a credit analysis prior to making an investment and by actively monitoring our portfolio and the underlying credit quality. In addition, we re-evaluate the credit risk inherent in our investments on a regular basis under fundamental considerations such as gross domestic product, unemployment, interest rates, retail sales, store closing/openings, corporate earnings, housing inventory, affordability and regional home price trends.</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Finally, we may be exposed to counterparty credit risk under the terms of a derivative contract. If the fair value of a derivative contract is positive, the counterparty will owe us, which creates credit risk for us. If the fair value of a derivative contract is negative, we will owe the counterparty and, therefore, do not have credit risk. We will seek to minimize the credit risk in derivative instruments by entering into transactions with high-quality counterparties.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Real estate market value risk</w:t>
      </w:r>
    </w:p>
    <w:p>
      <w:pPr>
        <w:spacing w:after="0" w:line="99" w:lineRule="exact"/>
        <w:rPr>
          <w:sz w:val="20"/>
          <w:szCs w:val="20"/>
          <w:color w:val="auto"/>
        </w:rPr>
      </w:pPr>
    </w:p>
    <w:p>
      <w:pPr>
        <w:jc w:val="both"/>
        <w:ind w:right="440"/>
        <w:spacing w:after="0" w:line="264" w:lineRule="auto"/>
        <w:rPr>
          <w:sz w:val="20"/>
          <w:szCs w:val="20"/>
          <w:color w:val="auto"/>
        </w:rPr>
      </w:pPr>
      <w:r>
        <w:rPr>
          <w:rFonts w:ascii="Times New Roman" w:cs="Times New Roman" w:eastAsia="Times New Roman" w:hAnsi="Times New Roman"/>
          <w:sz w:val="15"/>
          <w:szCs w:val="15"/>
          <w:color w:val="auto"/>
        </w:rPr>
        <w:t>Real estate property values are subject to volatility and may be adversely affected by a number of factors, including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An evaluation of the effectiveness of the design and operation of our “disclosure controls and procedures” (as defined in Rule 13a-15(e)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SEC rules and forms and (b) include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Controls over Financial Reporting</w:t>
      </w:r>
    </w:p>
    <w:p>
      <w:pPr>
        <w:spacing w:after="0" w:line="10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 13a-15(f) of the Exchange Act) that occurred during the period covered by this Quarterly Report on Form 10-Q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541020</wp:posOffset>
            </wp:positionV>
            <wp:extent cx="718058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5"/>
          <w:szCs w:val="15"/>
          <w:b w:val="1"/>
          <w:bCs w:val="1"/>
          <w:color w:val="auto"/>
        </w:rPr>
        <w:t>PART II—OTHER INFORMATION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not currently involved in any material litigation.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addition to the other information set forth in this report, you should carefully consider the risk factors discussed in Part I, Item 1A, “Risk Factors” of our Annual Report on Form 10-K for the year ended December 31, 2025 (“2025 Form 10-K”). The risks described in our 2025 Form 10-K are not the only risks facing us. Additional risks and uncertainties not currently known to us or that we currently deem to be immaterial also may materially adversely affect our business, financial condition, and operating results. There have been no material changes to the risk factors disclosed in our 2025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Unregistered sales of equity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sales of unregistered securities during the three months ended March 31, 2026 were previously disclosed.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 repurchase plan</w:t>
      </w:r>
    </w:p>
    <w:p>
      <w:pPr>
        <w:spacing w:after="0" w:line="9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5"/>
          <w:szCs w:val="15"/>
          <w:color w:val="auto"/>
        </w:rPr>
        <w:t>We adopted a share repurchase plan, whereby on a monthly basis, stockholders may request that we repurchase all or any portion of their shares. We may choose to repurchase all, some or none of the shares that have been requested to be repurchased at the end of any particular month, in our discretion, subject to any limitations in the share repurchase plan. The total amount of aggregate repurchases of our shares is limited to 2% of the aggregate NAV per month (measured using the aggregate NAV attributable to stockholders as of the end of the immediately preceding month) and 5% of the aggregate NAV per calendar quarter (measured using the average aggregate NAV attributable to stockholders as of the end of the immediately preceding three months). Shares are repurchased at a price equal to the transaction price on the applicable repurchase date, subject to any early repurchase deduction. Shares that have not been outstanding for at least one year are repurchased at 98% of the transaction price. In the event we determine to repurchase some but not all of the shares submitted for repurchase during any month, shares submitted for repurchase during such month will be repurchased on a pro rata basis based on the amount requested after we have repurchased all shares for which repurchase was requested due to death or disability and other limited exceptions. All unsatisfied repurchase requests must be resubmitted after the start of the next month or quarter, or upon the recommencement of the share repurchase plan, as applicable. Due to the illiquid nature of investments in real estate, we may not have sufficient liquid resources to fund repurchase requests and have established limitations on the amount of funds we may use for repurchase during any calendar month and quarter. See Note 3 “— Share Repurchase Plan” to our 2025 Form 10-K for additional detail regarding our share repurchase plan.</w:t>
      </w:r>
    </w:p>
    <w:p>
      <w:pPr>
        <w:spacing w:after="0" w:line="7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auto"/>
        </w:rPr>
        <w:t>During the three months ended March 31, 2026, we repurchased shares of our common stock in the following amounts, which represented all of the share repurchase requests received for the same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72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Maximum Number (or Approximate</w:t>
            </w:r>
          </w:p>
        </w:tc>
      </w:tr>
      <w:tr>
        <w:trPr>
          <w:trHeight w:val="180"/>
        </w:trPr>
        <w:tc>
          <w:tcPr>
            <w:tcW w:w="1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6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Total Number of Shares</w:t>
            </w:r>
          </w:p>
        </w:tc>
        <w:tc>
          <w:tcPr>
            <w:tcW w:w="272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Dollar Value) of Shares that May Yet</w:t>
            </w:r>
          </w:p>
        </w:tc>
      </w:tr>
      <w:tr>
        <w:trPr>
          <w:trHeight w:val="164"/>
        </w:trPr>
        <w:tc>
          <w:tcPr>
            <w:tcW w:w="1260" w:type="dxa"/>
            <w:vAlign w:val="bottom"/>
          </w:tcPr>
          <w:p>
            <w:pPr>
              <w:spacing w:after="0"/>
              <w:rPr>
                <w:sz w:val="14"/>
                <w:szCs w:val="14"/>
                <w:color w:val="auto"/>
              </w:rPr>
            </w:pPr>
          </w:p>
        </w:tc>
        <w:tc>
          <w:tcPr>
            <w:tcW w:w="1940" w:type="dxa"/>
            <w:vAlign w:val="bottom"/>
          </w:tcPr>
          <w:p>
            <w:pPr>
              <w:jc w:val="right"/>
              <w:ind w:right="385"/>
              <w:spacing w:after="0" w:line="164" w:lineRule="exact"/>
              <w:rPr>
                <w:sz w:val="20"/>
                <w:szCs w:val="20"/>
                <w:color w:val="auto"/>
              </w:rPr>
            </w:pPr>
            <w:r>
              <w:rPr>
                <w:rFonts w:ascii="Times New Roman" w:cs="Times New Roman" w:eastAsia="Times New Roman" w:hAnsi="Times New Roman"/>
                <w:sz w:val="15"/>
                <w:szCs w:val="15"/>
                <w:b w:val="1"/>
                <w:bCs w:val="1"/>
                <w:color w:val="auto"/>
              </w:rPr>
              <w:t>Total Number</w:t>
            </w:r>
          </w:p>
        </w:tc>
        <w:tc>
          <w:tcPr>
            <w:tcW w:w="154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w w:val="99"/>
              </w:rPr>
              <w:t>Repurchases as a</w:t>
            </w:r>
          </w:p>
        </w:tc>
        <w:tc>
          <w:tcPr>
            <w:tcW w:w="140" w:type="dxa"/>
            <w:vAlign w:val="bottom"/>
          </w:tcPr>
          <w:p>
            <w:pPr>
              <w:spacing w:after="0"/>
              <w:rPr>
                <w:sz w:val="14"/>
                <w:szCs w:val="14"/>
                <w:color w:val="auto"/>
              </w:rPr>
            </w:pPr>
          </w:p>
        </w:tc>
        <w:tc>
          <w:tcPr>
            <w:tcW w:w="1220" w:type="dxa"/>
            <w:vAlign w:val="bottom"/>
          </w:tcPr>
          <w:p>
            <w:pPr>
              <w:jc w:val="right"/>
              <w:ind w:right="205"/>
              <w:spacing w:after="0" w:line="164" w:lineRule="exact"/>
              <w:rPr>
                <w:sz w:val="20"/>
                <w:szCs w:val="20"/>
                <w:color w:val="auto"/>
              </w:rPr>
            </w:pPr>
            <w:r>
              <w:rPr>
                <w:rFonts w:ascii="Times New Roman" w:cs="Times New Roman" w:eastAsia="Times New Roman" w:hAnsi="Times New Roman"/>
                <w:sz w:val="15"/>
                <w:szCs w:val="15"/>
                <w:b w:val="1"/>
                <w:bCs w:val="1"/>
                <w:color w:val="auto"/>
              </w:rPr>
              <w:t>Average Price</w:t>
            </w:r>
          </w:p>
        </w:tc>
        <w:tc>
          <w:tcPr>
            <w:tcW w:w="2460" w:type="dxa"/>
            <w:vAlign w:val="bottom"/>
          </w:tcPr>
          <w:p>
            <w:pPr>
              <w:jc w:val="center"/>
              <w:ind w:right="45"/>
              <w:spacing w:after="0" w:line="164" w:lineRule="exact"/>
              <w:rPr>
                <w:sz w:val="20"/>
                <w:szCs w:val="20"/>
                <w:color w:val="auto"/>
              </w:rPr>
            </w:pPr>
            <w:r>
              <w:rPr>
                <w:rFonts w:ascii="Times New Roman" w:cs="Times New Roman" w:eastAsia="Times New Roman" w:hAnsi="Times New Roman"/>
                <w:sz w:val="15"/>
                <w:szCs w:val="15"/>
                <w:b w:val="1"/>
                <w:bCs w:val="1"/>
                <w:color w:val="auto"/>
              </w:rPr>
              <w:t>Repurchased as Part of Publicly</w:t>
            </w:r>
          </w:p>
        </w:tc>
        <w:tc>
          <w:tcPr>
            <w:tcW w:w="2720" w:type="dxa"/>
            <w:vAlign w:val="bottom"/>
          </w:tcPr>
          <w:p>
            <w:pPr>
              <w:jc w:val="center"/>
              <w:ind w:right="45"/>
              <w:spacing w:after="0" w:line="164" w:lineRule="exact"/>
              <w:rPr>
                <w:sz w:val="20"/>
                <w:szCs w:val="20"/>
                <w:color w:val="auto"/>
              </w:rPr>
            </w:pPr>
            <w:r>
              <w:rPr>
                <w:rFonts w:ascii="Times New Roman" w:cs="Times New Roman" w:eastAsia="Times New Roman" w:hAnsi="Times New Roman"/>
                <w:sz w:val="15"/>
                <w:szCs w:val="15"/>
                <w:b w:val="1"/>
                <w:bCs w:val="1"/>
                <w:color w:val="auto"/>
              </w:rPr>
              <w:t>be Repurchased Under the Publicly</w:t>
            </w:r>
          </w:p>
        </w:tc>
      </w:tr>
      <w:tr>
        <w:trPr>
          <w:trHeight w:val="214"/>
        </w:trPr>
        <w:tc>
          <w:tcPr>
            <w:tcW w:w="12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9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of Shares Repurchased</w:t>
            </w:r>
          </w:p>
        </w:tc>
        <w:tc>
          <w:tcPr>
            <w:tcW w:w="1540" w:type="dxa"/>
            <w:vAlign w:val="bottom"/>
            <w:tcBorders>
              <w:bottom w:val="single" w:sz="8" w:color="auto"/>
            </w:tcBorders>
          </w:tcPr>
          <w:p>
            <w:pPr>
              <w:jc w:val="center"/>
              <w:ind w:left="5"/>
              <w:spacing w:after="0" w:line="213" w:lineRule="exact"/>
              <w:rPr>
                <w:sz w:val="20"/>
                <w:szCs w:val="20"/>
                <w:color w:val="auto"/>
              </w:rPr>
            </w:pPr>
            <w:r>
              <w:rPr>
                <w:rFonts w:ascii="Times New Roman" w:cs="Times New Roman" w:eastAsia="Times New Roman" w:hAnsi="Times New Roman"/>
                <w:sz w:val="15"/>
                <w:szCs w:val="15"/>
                <w:b w:val="1"/>
                <w:bCs w:val="1"/>
                <w:color w:val="auto"/>
                <w:w w:val="96"/>
              </w:rPr>
              <w:t>Percentage of NAV</w:t>
            </w:r>
            <w:r>
              <w:rPr>
                <w:rFonts w:ascii="Times New Roman" w:cs="Times New Roman" w:eastAsia="Times New Roman" w:hAnsi="Times New Roman"/>
                <w:sz w:val="20"/>
                <w:szCs w:val="20"/>
                <w:b w:val="1"/>
                <w:bCs w:val="1"/>
                <w:color w:val="auto"/>
                <w:w w:val="96"/>
                <w:vertAlign w:val="superscript"/>
              </w:rPr>
              <w:t>(1)</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w w:val="99"/>
              </w:rPr>
              <w:t>Paid Per Share</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Announced Plans or Programs</w:t>
            </w:r>
          </w:p>
        </w:tc>
        <w:tc>
          <w:tcPr>
            <w:tcW w:w="272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w w:val="99"/>
              </w:rPr>
              <w:t>Announced Plans or Programs</w:t>
            </w:r>
          </w:p>
        </w:tc>
      </w:tr>
      <w:tr>
        <w:trPr>
          <w:trHeight w:val="171"/>
        </w:trPr>
        <w:tc>
          <w:tcPr>
            <w:tcW w:w="126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4"/>
                <w:szCs w:val="14"/>
                <w:color w:val="auto"/>
              </w:rPr>
              <w:t>January 2026</w:t>
            </w:r>
            <w:r>
              <w:rPr>
                <w:rFonts w:ascii="Times New Roman" w:cs="Times New Roman" w:eastAsia="Times New Roman" w:hAnsi="Times New Roman"/>
                <w:sz w:val="19"/>
                <w:szCs w:val="19"/>
                <w:color w:val="auto"/>
                <w:vertAlign w:val="superscript"/>
              </w:rPr>
              <w:t>(2)</w:t>
            </w:r>
          </w:p>
        </w:tc>
        <w:tc>
          <w:tcPr>
            <w:tcW w:w="194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312,936</w:t>
            </w:r>
          </w:p>
        </w:tc>
        <w:tc>
          <w:tcPr>
            <w:tcW w:w="1540" w:type="dxa"/>
            <w:vAlign w:val="bottom"/>
            <w:shd w:val="clear" w:color="auto" w:fill="CFF0FC"/>
          </w:tcPr>
          <w:p>
            <w:pPr>
              <w:jc w:val="center"/>
              <w:ind w:left="5"/>
              <w:spacing w:after="0" w:line="171" w:lineRule="exact"/>
              <w:rPr>
                <w:sz w:val="20"/>
                <w:szCs w:val="20"/>
                <w:color w:val="auto"/>
              </w:rPr>
            </w:pPr>
            <w:r>
              <w:rPr>
                <w:rFonts w:ascii="Times New Roman" w:cs="Times New Roman" w:eastAsia="Times New Roman" w:hAnsi="Times New Roman"/>
                <w:sz w:val="15"/>
                <w:szCs w:val="15"/>
                <w:color w:val="auto"/>
                <w:w w:val="97"/>
              </w:rPr>
              <w:t>0.39%</w:t>
            </w:r>
          </w:p>
        </w:tc>
        <w:tc>
          <w:tcPr>
            <w:tcW w:w="1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rPr>
              <w:t>10.99</w:t>
            </w:r>
          </w:p>
        </w:tc>
        <w:tc>
          <w:tcPr>
            <w:tcW w:w="2460" w:type="dxa"/>
            <w:vAlign w:val="bottom"/>
            <w:shd w:val="clear" w:color="auto" w:fill="CFF0FC"/>
          </w:tcPr>
          <w:p>
            <w:pPr>
              <w:jc w:val="right"/>
              <w:ind w:right="5"/>
              <w:spacing w:after="0" w:line="171" w:lineRule="exact"/>
              <w:rPr>
                <w:sz w:val="20"/>
                <w:szCs w:val="20"/>
                <w:color w:val="auto"/>
              </w:rPr>
            </w:pPr>
            <w:r>
              <w:rPr>
                <w:rFonts w:ascii="Times New Roman" w:cs="Times New Roman" w:eastAsia="Times New Roman" w:hAnsi="Times New Roman"/>
                <w:sz w:val="15"/>
                <w:szCs w:val="15"/>
                <w:color w:val="auto"/>
              </w:rPr>
              <w:t>295,425</w:t>
            </w:r>
          </w:p>
        </w:tc>
        <w:tc>
          <w:tcPr>
            <w:tcW w:w="2720" w:type="dxa"/>
            <w:vAlign w:val="bottom"/>
            <w:shd w:val="clear" w:color="auto" w:fill="CFF0FC"/>
          </w:tcPr>
          <w:p>
            <w:pPr>
              <w:ind w:left="2420"/>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18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auto"/>
              </w:rPr>
              <w:t>February 2026</w:t>
            </w:r>
          </w:p>
        </w:tc>
        <w:tc>
          <w:tcPr>
            <w:tcW w:w="194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128,835</w:t>
            </w:r>
          </w:p>
        </w:tc>
        <w:tc>
          <w:tcPr>
            <w:tcW w:w="154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auto"/>
                <w:w w:val="97"/>
              </w:rPr>
              <w:t>0.15%</w:t>
            </w:r>
          </w:p>
        </w:tc>
        <w:tc>
          <w:tcPr>
            <w:tcW w:w="140" w:type="dxa"/>
            <w:vAlign w:val="bottom"/>
          </w:tcPr>
          <w:p>
            <w:pPr>
              <w:spacing w:after="0"/>
              <w:rPr>
                <w:sz w:val="15"/>
                <w:szCs w:val="15"/>
                <w:color w:val="auto"/>
              </w:rPr>
            </w:pPr>
          </w:p>
        </w:tc>
        <w:tc>
          <w:tcPr>
            <w:tcW w:w="12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10.58</w:t>
            </w:r>
          </w:p>
        </w:tc>
        <w:tc>
          <w:tcPr>
            <w:tcW w:w="24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128,835</w:t>
            </w:r>
          </w:p>
        </w:tc>
        <w:tc>
          <w:tcPr>
            <w:tcW w:w="2720" w:type="dxa"/>
            <w:vAlign w:val="bottom"/>
          </w:tcPr>
          <w:p>
            <w:pPr>
              <w:ind w:left="24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March 2026</w:t>
            </w:r>
          </w:p>
        </w:tc>
        <w:tc>
          <w:tcPr>
            <w:tcW w:w="19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99,624</w:t>
            </w:r>
          </w:p>
        </w:tc>
        <w:tc>
          <w:tcPr>
            <w:tcW w:w="1540" w:type="dxa"/>
            <w:vAlign w:val="bottom"/>
            <w:shd w:val="clear" w:color="auto" w:fill="CFF0FC"/>
          </w:tcPr>
          <w:p>
            <w:pPr>
              <w:jc w:val="center"/>
              <w:ind w:left="5"/>
              <w:spacing w:after="0"/>
              <w:rPr>
                <w:sz w:val="20"/>
                <w:szCs w:val="20"/>
                <w:color w:val="auto"/>
              </w:rPr>
            </w:pPr>
            <w:r>
              <w:rPr>
                <w:rFonts w:ascii="Times New Roman" w:cs="Times New Roman" w:eastAsia="Times New Roman" w:hAnsi="Times New Roman"/>
                <w:sz w:val="15"/>
                <w:szCs w:val="15"/>
                <w:color w:val="auto"/>
                <w:w w:val="97"/>
              </w:rPr>
              <w:t>0.12%</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10.79</w:t>
            </w:r>
          </w:p>
        </w:tc>
        <w:tc>
          <w:tcPr>
            <w:tcW w:w="24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5"/>
                <w:szCs w:val="15"/>
                <w:color w:val="auto"/>
              </w:rPr>
              <w:t>99,624</w:t>
            </w:r>
          </w:p>
        </w:tc>
        <w:tc>
          <w:tcPr>
            <w:tcW w:w="2720" w:type="dxa"/>
            <w:vAlign w:val="bottom"/>
            <w:shd w:val="clear" w:color="auto" w:fill="CFF0FC"/>
          </w:tcPr>
          <w:p>
            <w:pPr>
              <w:ind w:left="2420"/>
              <w:spacing w:after="0"/>
              <w:rPr>
                <w:sz w:val="20"/>
                <w:szCs w:val="20"/>
                <w:color w:val="auto"/>
              </w:rPr>
            </w:pPr>
            <w:r>
              <w:rPr>
                <w:rFonts w:ascii="Times New Roman" w:cs="Times New Roman" w:eastAsia="Times New Roman" w:hAnsi="Times New Roman"/>
                <w:sz w:val="15"/>
                <w:szCs w:val="15"/>
                <w:color w:val="auto"/>
              </w:rPr>
              <w:t>—</w:t>
            </w:r>
          </w:p>
        </w:tc>
      </w:tr>
    </w:tbl>
    <w:p>
      <w:pPr>
        <w:ind w:firstLine="10"/>
        <w:spacing w:after="0"/>
        <w:tabs>
          <w:tab w:leader="none" w:pos="142"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aggregate NAV of shares repurchased under our share repurchase plan over aggregate NAV of all shares outstanding, in each case, based on the NAV as of the last calendar day of the prior month.</w:t>
      </w:r>
    </w:p>
    <w:p>
      <w:pPr>
        <w:spacing w:after="0" w:line="185" w:lineRule="exact"/>
        <w:rPr>
          <w:rFonts w:ascii="Times New Roman" w:cs="Times New Roman" w:eastAsia="Times New Roman" w:hAnsi="Times New Roman"/>
          <w:sz w:val="16"/>
          <w:szCs w:val="16"/>
          <w:color w:val="auto"/>
          <w:vertAlign w:val="superscript"/>
        </w:rPr>
      </w:pPr>
    </w:p>
    <w:p>
      <w:pPr>
        <w:ind w:right="220"/>
        <w:spacing w:after="0" w:line="220" w:lineRule="auto"/>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The total number of shares repurchased and average price paid per share include 17,511 Class E common shares repurchased outside of the share repurchase plan that were previously issued pursuant to the Initial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718058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Trading Arrangements</w:t>
      </w:r>
    </w:p>
    <w:p>
      <w:pPr>
        <w:spacing w:after="0" w:line="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5"/>
          <w:szCs w:val="15"/>
          <w:color w:val="auto"/>
        </w:rPr>
        <w:t>None of our directors or executive officers adopted or terminated a Rule 10b5-1 trading arrangement or a non-Rule 10b5-1 trading arrangement (as defined in Item 408(c) of Regulation S-K)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541020</wp:posOffset>
            </wp:positionV>
            <wp:extent cx="718058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20"/>
          </w:cols>
          <w:pgMar w:left="300" w:top="929"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Furnish the exhibits required by Item 601 of Regulation S-K (§ 229.601 of this chapter).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12"/>
                <w:szCs w:val="12"/>
                <w:color w:val="auto"/>
              </w:rPr>
            </w:pPr>
          </w:p>
        </w:tc>
        <w:tc>
          <w:tcPr>
            <w:tcW w:w="10200" w:type="dxa"/>
            <w:vAlign w:val="bottom"/>
            <w:vMerge w:val="restart"/>
          </w:tcPr>
          <w:p>
            <w:pPr>
              <w:ind w:left="48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5"/>
        </w:trPr>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Pr>
          <w:p>
            <w:pPr>
              <w:spacing w:after="0"/>
              <w:rPr>
                <w:sz w:val="12"/>
                <w:szCs w:val="12"/>
                <w:color w:val="auto"/>
              </w:rPr>
            </w:pPr>
          </w:p>
        </w:tc>
        <w:tc>
          <w:tcPr>
            <w:tcW w:w="10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3"/>
                <w:szCs w:val="13"/>
                <w:color w:val="auto"/>
              </w:rPr>
            </w:pPr>
          </w:p>
        </w:tc>
        <w:tc>
          <w:tcPr>
            <w:tcW w:w="10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Articles of Amendment and Restatement of J.P. Morgan Real Estate Income Trust, Inc., dated June 2, 2022 (filed as Exhibit 3.1 to the Registrant’s Registration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Statement on Form S-11 filed on June 14, 2022 and 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Certificate of Correction of Articles of Amendment and Restatement of J.P. Morgan Real Estate Income Trust, Inc., dated June 2, 2022 (filed as Exhibit 3.2 to the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Registrant’s Registration Statement on Form S-11 filed on June 14, 2022 and 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3.3</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Articles of Amendment, dated November 13, 2023 (filed as Exhibit 3.1 to the Registrant’s Current Report on Form 8-K filed on November 16, 2023 and incorporated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3.4</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Articles Supplementary, dated November 13, 2023 (filed as Exhibit 3.2 to the Registrant’s Current Report on Form 8-K filed on November 16, 2023 and incorporated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3.5</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Second Articles of Amendment, dated November 13, 2023 (filed as Exhibit 3.3 to the Registrant’s Current Report on Form 8-K filed on November 16, 2023 and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3.6</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Articles Supplementary, dated April 16, 2024 (filed as Exhibit 3.1 to the Registrant’s Current Report on Form 8-K filed on April 22, 2024 and incorporated herein by</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3.7</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Third Articles of Amendment, dated November 7, 2025 (filed as Exhibit 3.7 to the Registrant’s Quarterly Report on Form 10-Q filed on November 13, 2025 and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3.8</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Bylaws of J.P. Morgan Real Estate Income Trust, Inc. (filed as Exhibit 3.3 to the Registrant’s Registration Statement on Form S-11 filed on June 14, 2022 and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Fourth Amended and Restated Distribution Reinvestment Plan (filed as Exhibit 4.1 to Post-Effective Amendment No. 4 to the Registrant’s Registration Statement 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Form S-11 filed on April 15, 2026 and 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Fourth Amended and Restated Advisory Agreement by and among J.P. Morgan Real Estate Income Trust, Inc., J.P. Morgan REIT Operating Partnership, L.P. and J.P.</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Morgan Investment Management Inc., dated March 11, 2026 (filed as Exhibit 10.1 to the Registrant's Annual Report on Form 10-K filed on March 16, 2026 and</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incorporated herein by reference).</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w w:val="99"/>
              </w:rPr>
              <w:t>Certification of Principal Executive Officer Pursuant to Rules 13a-14(a) and 15d-14(a) under the Securities Exchange Act of 1934, as Adopted Pursuant to Section 302 of</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the Sarbanes-Oxley Act of 2002.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Certification of Principal Financial Officer Pursuant to Rules 13a-14(a) and 15d-14(a) under the Securities Exchange Act of 1934, as Adopted Pursuant to Section 302 of</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the Sarbanes-Oxley Act of 2002.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32.1**</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32.2**</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XBRL tags are embedded within the Inline XBRL</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document.</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Inline XBRL Taxonomy Extension Schema With Embedded Linkbase Documents</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95504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5504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718058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5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80"/>
          </w:cols>
          <w:pgMar w:left="300" w:top="839" w:right="31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15, 2026</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J.P. Morgan Real Estate Income Trust, Inc.</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Chad Tredway</w:t>
            </w:r>
          </w:p>
        </w:tc>
      </w:tr>
      <w:tr>
        <w:trPr>
          <w:trHeight w:val="157"/>
        </w:trPr>
        <w:tc>
          <w:tcPr>
            <w:tcW w:w="460" w:type="dxa"/>
            <w:vAlign w:val="bottom"/>
          </w:tcPr>
          <w:p>
            <w:pPr>
              <w:spacing w:after="0"/>
              <w:rPr>
                <w:sz w:val="13"/>
                <w:szCs w:val="13"/>
                <w:color w:val="auto"/>
              </w:rPr>
            </w:pPr>
          </w:p>
        </w:tc>
        <w:tc>
          <w:tcPr>
            <w:tcW w:w="51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Chad Tredway</w:t>
            </w:r>
          </w:p>
        </w:tc>
      </w:tr>
      <w:tr>
        <w:trPr>
          <w:trHeight w:val="180"/>
        </w:trPr>
        <w:tc>
          <w:tcPr>
            <w:tcW w:w="46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Chairperson of the Board and Chief Executive Officer</w:t>
            </w:r>
          </w:p>
        </w:tc>
      </w:tr>
      <w:tr>
        <w:trPr>
          <w:trHeight w:val="193"/>
        </w:trPr>
        <w:tc>
          <w:tcPr>
            <w:tcW w:w="4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360"/>
        </w:trPr>
        <w:tc>
          <w:tcPr>
            <w:tcW w:w="4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Lawrence A. Goodfield, Jr.</w:t>
            </w:r>
          </w:p>
        </w:tc>
      </w:tr>
      <w:tr>
        <w:trPr>
          <w:trHeight w:val="157"/>
        </w:trPr>
        <w:tc>
          <w:tcPr>
            <w:tcW w:w="460" w:type="dxa"/>
            <w:vAlign w:val="bottom"/>
          </w:tcPr>
          <w:p>
            <w:pPr>
              <w:spacing w:after="0"/>
              <w:rPr>
                <w:sz w:val="13"/>
                <w:szCs w:val="13"/>
                <w:color w:val="auto"/>
              </w:rPr>
            </w:pPr>
          </w:p>
        </w:tc>
        <w:tc>
          <w:tcPr>
            <w:tcW w:w="51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Lawrence A. Goodfield, Jr.</w:t>
            </w:r>
          </w:p>
        </w:tc>
      </w:tr>
      <w:tr>
        <w:trPr>
          <w:trHeight w:val="180"/>
        </w:trPr>
        <w:tc>
          <w:tcPr>
            <w:tcW w:w="46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and Treasurer</w:t>
            </w:r>
          </w:p>
        </w:tc>
      </w:tr>
      <w:tr>
        <w:trPr>
          <w:trHeight w:val="193"/>
        </w:trPr>
        <w:tc>
          <w:tcPr>
            <w:tcW w:w="4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615315</wp:posOffset>
            </wp:positionV>
            <wp:extent cx="7180580"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2">
            <w:col w:w="4960" w:space="720"/>
            <w:col w:w="5600"/>
          </w:cols>
          <w:pgMar w:left="300" w:top="839" w:right="319" w:bottom="1440" w:gutter="0" w:footer="0" w:header="0"/>
          <w:type w:val="continuous"/>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2026-05-19T10:15:54Z</dcterms:created>
  <dcterms:modified xsi:type="dcterms:W3CDTF">2026-05-19T10:15:54Z</dcterms:modified>
</cp:coreProperties>
</file>