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center"/>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2026, J.P. Morgan Real Estate Income Trust, Inc. (the “Company”) held its 2026 annual meeting of stockholders (the “Annual Meeting”). There was not a sufficient number of stockholders present in person or by proxy to achieve a quorum, and the Annual Meeting was adjourned without (i) electing the nominees to the Company’s board of directors for the ensuing year and until their successors are elected and qualify, (ii) ratifying the appointment of PricewaterhouseCoopers LLP as the Company’s independent registered public accounting firm for the year ending December 31, 2026, or (iii) transacting any other business.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under Maryland law, each incumbent nominee for the Company’s board of directors will continue to serve as a “holdover” director until his or her successor is duly elected and qualifies. In addition, the ratification by stockholders of PricewaterhouseCoopers LLP as the Company’s independent registered public accounting firm for the year ending December 31, 2026 is not required for their appointment and they will serve in that capacity at the direction of the Company’s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10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542</Words>
  <Characters>2945</Characters>
  <CharactersWithSpaces>3439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